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drawings/drawing6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06" w:rsidRPr="001A0F72" w:rsidRDefault="005D4D06" w:rsidP="001A0F72">
      <w:pPr>
        <w:tabs>
          <w:tab w:val="left" w:pos="5387"/>
        </w:tabs>
        <w:spacing w:line="280" w:lineRule="exact"/>
        <w:ind w:right="3968"/>
        <w:rPr>
          <w:rFonts w:eastAsia="Times New Roman"/>
          <w:spacing w:val="-4"/>
          <w:sz w:val="30"/>
          <w:szCs w:val="20"/>
          <w:lang w:eastAsia="ru-RU"/>
        </w:rPr>
      </w:pPr>
      <w:r w:rsidRPr="001A0F72">
        <w:rPr>
          <w:rFonts w:eastAsia="Times New Roman"/>
          <w:spacing w:val="-4"/>
          <w:sz w:val="30"/>
          <w:szCs w:val="20"/>
          <w:lang w:eastAsia="ru-RU"/>
        </w:rPr>
        <w:t>Информация о состоянии</w:t>
      </w:r>
      <w:r w:rsidR="001A0F72">
        <w:rPr>
          <w:rFonts w:eastAsia="Times New Roman"/>
          <w:spacing w:val="-4"/>
          <w:sz w:val="30"/>
          <w:szCs w:val="20"/>
          <w:lang w:eastAsia="ru-RU"/>
        </w:rPr>
        <w:t xml:space="preserve"> </w:t>
      </w:r>
      <w:r w:rsidRPr="001A0F72">
        <w:rPr>
          <w:rFonts w:eastAsia="Times New Roman"/>
          <w:spacing w:val="-4"/>
          <w:sz w:val="30"/>
          <w:szCs w:val="20"/>
          <w:lang w:eastAsia="ru-RU"/>
        </w:rPr>
        <w:t>производственного травматизма</w:t>
      </w:r>
      <w:r w:rsidR="001A0F72">
        <w:rPr>
          <w:rFonts w:eastAsia="Times New Roman"/>
          <w:spacing w:val="-4"/>
          <w:sz w:val="30"/>
          <w:szCs w:val="20"/>
          <w:lang w:eastAsia="ru-RU"/>
        </w:rPr>
        <w:t xml:space="preserve"> </w:t>
      </w:r>
      <w:r w:rsidRPr="001A0F72">
        <w:rPr>
          <w:rFonts w:eastAsia="Times New Roman"/>
          <w:spacing w:val="-4"/>
          <w:sz w:val="30"/>
          <w:szCs w:val="20"/>
          <w:lang w:eastAsia="ru-RU"/>
        </w:rPr>
        <w:t>с тяжелыми последствиями</w:t>
      </w:r>
      <w:r w:rsidRPr="001A0F72">
        <w:rPr>
          <w:rFonts w:eastAsia="Times New Roman"/>
          <w:spacing w:val="-4"/>
          <w:sz w:val="30"/>
          <w:szCs w:val="20"/>
          <w:lang w:eastAsia="ru-RU"/>
        </w:rPr>
        <w:br/>
      </w:r>
      <w:r w:rsidR="001A0F72" w:rsidRPr="001A0F72">
        <w:rPr>
          <w:rFonts w:eastAsia="Times New Roman"/>
          <w:spacing w:val="-4"/>
          <w:sz w:val="30"/>
          <w:szCs w:val="20"/>
          <w:lang w:eastAsia="ru-RU"/>
        </w:rPr>
        <w:t>при выполнении строительных</w:t>
      </w:r>
      <w:r w:rsidR="001A0F72">
        <w:rPr>
          <w:rFonts w:eastAsia="Times New Roman"/>
          <w:spacing w:val="-4"/>
          <w:sz w:val="30"/>
          <w:szCs w:val="20"/>
          <w:lang w:eastAsia="ru-RU"/>
        </w:rPr>
        <w:t xml:space="preserve"> </w:t>
      </w:r>
      <w:r w:rsidR="001A0F72" w:rsidRPr="001A0F72">
        <w:rPr>
          <w:rFonts w:eastAsia="Times New Roman"/>
          <w:spacing w:val="-4"/>
          <w:sz w:val="30"/>
          <w:szCs w:val="20"/>
          <w:lang w:eastAsia="ru-RU"/>
        </w:rPr>
        <w:t>и связанных с ними работ</w:t>
      </w:r>
      <w:r w:rsidR="001A0F72">
        <w:rPr>
          <w:rFonts w:eastAsia="Times New Roman"/>
          <w:spacing w:val="-4"/>
          <w:sz w:val="30"/>
          <w:szCs w:val="20"/>
          <w:lang w:eastAsia="ru-RU"/>
        </w:rPr>
        <w:t xml:space="preserve"> </w:t>
      </w:r>
      <w:r w:rsidR="00C13B1C" w:rsidRPr="001A0F72">
        <w:rPr>
          <w:rFonts w:eastAsia="Times New Roman"/>
          <w:spacing w:val="-4"/>
          <w:sz w:val="30"/>
          <w:szCs w:val="20"/>
          <w:lang w:eastAsia="ru-RU"/>
        </w:rPr>
        <w:t>в</w:t>
      </w:r>
      <w:r w:rsidR="000D2707" w:rsidRPr="001A0F72">
        <w:rPr>
          <w:rFonts w:eastAsia="Times New Roman"/>
          <w:spacing w:val="-4"/>
          <w:sz w:val="30"/>
          <w:szCs w:val="20"/>
          <w:lang w:eastAsia="ru-RU"/>
        </w:rPr>
        <w:t xml:space="preserve"> </w:t>
      </w:r>
      <w:r w:rsidRPr="001A0F72">
        <w:rPr>
          <w:rFonts w:eastAsia="Times New Roman"/>
          <w:spacing w:val="-4"/>
          <w:sz w:val="30"/>
          <w:szCs w:val="20"/>
          <w:lang w:eastAsia="ru-RU"/>
        </w:rPr>
        <w:t>202</w:t>
      </w:r>
      <w:r w:rsidR="00F10088">
        <w:rPr>
          <w:rFonts w:eastAsia="Times New Roman"/>
          <w:spacing w:val="-4"/>
          <w:sz w:val="30"/>
          <w:szCs w:val="20"/>
          <w:lang w:eastAsia="ru-RU"/>
        </w:rPr>
        <w:t>4</w:t>
      </w:r>
      <w:r w:rsidRPr="001A0F72">
        <w:rPr>
          <w:rFonts w:eastAsia="Times New Roman"/>
          <w:spacing w:val="-4"/>
          <w:sz w:val="30"/>
          <w:szCs w:val="20"/>
          <w:lang w:eastAsia="ru-RU"/>
        </w:rPr>
        <w:t xml:space="preserve"> г</w:t>
      </w:r>
      <w:r w:rsidR="000D2707" w:rsidRPr="001A0F72">
        <w:rPr>
          <w:rFonts w:eastAsia="Times New Roman"/>
          <w:spacing w:val="-4"/>
          <w:sz w:val="30"/>
          <w:szCs w:val="20"/>
          <w:lang w:eastAsia="ru-RU"/>
        </w:rPr>
        <w:t>од</w:t>
      </w:r>
      <w:r w:rsidR="00C13B1C" w:rsidRPr="001A0F72">
        <w:rPr>
          <w:rFonts w:eastAsia="Times New Roman"/>
          <w:spacing w:val="-4"/>
          <w:sz w:val="30"/>
          <w:szCs w:val="20"/>
          <w:lang w:eastAsia="ru-RU"/>
        </w:rPr>
        <w:t>у</w:t>
      </w:r>
    </w:p>
    <w:p w:rsidR="00403A29" w:rsidRPr="00272D9F" w:rsidRDefault="00403A29" w:rsidP="002071B6">
      <w:pPr>
        <w:spacing w:line="360" w:lineRule="auto"/>
        <w:ind w:firstLine="709"/>
        <w:rPr>
          <w:rFonts w:eastAsia="Times New Roman"/>
          <w:spacing w:val="-6"/>
          <w:sz w:val="30"/>
          <w:szCs w:val="30"/>
          <w:lang w:eastAsia="ru-RU"/>
        </w:rPr>
      </w:pPr>
    </w:p>
    <w:p w:rsidR="00777792" w:rsidRPr="0092539B" w:rsidRDefault="0003062E" w:rsidP="00282A29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2F5602">
        <w:rPr>
          <w:rFonts w:eastAsia="Times New Roman"/>
          <w:spacing w:val="-6"/>
          <w:sz w:val="30"/>
          <w:szCs w:val="30"/>
          <w:lang w:eastAsia="ru-RU"/>
        </w:rPr>
        <w:t xml:space="preserve">В </w:t>
      </w:r>
      <w:r w:rsidR="00282A29" w:rsidRPr="002F5602">
        <w:rPr>
          <w:rFonts w:eastAsia="Times New Roman"/>
          <w:spacing w:val="-6"/>
          <w:sz w:val="30"/>
          <w:szCs w:val="30"/>
          <w:lang w:eastAsia="ru-RU"/>
        </w:rPr>
        <w:t>202</w:t>
      </w:r>
      <w:r w:rsidR="00F10088" w:rsidRPr="002F5602">
        <w:rPr>
          <w:rFonts w:eastAsia="Times New Roman"/>
          <w:spacing w:val="-6"/>
          <w:sz w:val="30"/>
          <w:szCs w:val="30"/>
          <w:lang w:eastAsia="ru-RU"/>
        </w:rPr>
        <w:t>4</w:t>
      </w:r>
      <w:r w:rsidR="00282A29" w:rsidRPr="002F5602">
        <w:rPr>
          <w:rFonts w:eastAsia="Times New Roman"/>
          <w:spacing w:val="-6"/>
          <w:sz w:val="30"/>
          <w:szCs w:val="30"/>
          <w:lang w:eastAsia="ru-RU"/>
        </w:rPr>
        <w:t xml:space="preserve"> году </w:t>
      </w:r>
      <w:r w:rsidR="0092539B" w:rsidRPr="002F5602">
        <w:rPr>
          <w:rFonts w:eastAsia="Times New Roman"/>
          <w:spacing w:val="-6"/>
          <w:sz w:val="30"/>
          <w:szCs w:val="30"/>
          <w:lang w:eastAsia="ru-RU"/>
        </w:rPr>
        <w:t xml:space="preserve">в Минской области </w:t>
      </w:r>
      <w:r w:rsidRPr="002F5602">
        <w:rPr>
          <w:rFonts w:eastAsia="Times New Roman"/>
          <w:spacing w:val="-6"/>
          <w:sz w:val="30"/>
          <w:szCs w:val="30"/>
          <w:lang w:eastAsia="ru-RU"/>
        </w:rPr>
        <w:t>при выполнении строительных</w:t>
      </w:r>
      <w:r w:rsidRPr="00777792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92539B">
        <w:rPr>
          <w:rFonts w:eastAsia="Times New Roman"/>
          <w:spacing w:val="-6"/>
          <w:sz w:val="30"/>
          <w:szCs w:val="30"/>
          <w:lang w:eastAsia="ru-RU"/>
        </w:rPr>
        <w:br/>
      </w:r>
      <w:r w:rsidRPr="00777792">
        <w:rPr>
          <w:rFonts w:eastAsia="Times New Roman"/>
          <w:spacing w:val="-6"/>
          <w:sz w:val="30"/>
          <w:szCs w:val="30"/>
          <w:lang w:eastAsia="ru-RU"/>
        </w:rPr>
        <w:t xml:space="preserve">и связанных с ними работ </w:t>
      </w:r>
      <w:r w:rsidR="0092539B">
        <w:rPr>
          <w:rFonts w:eastAsia="Times New Roman"/>
          <w:spacing w:val="-6"/>
          <w:sz w:val="30"/>
          <w:szCs w:val="30"/>
          <w:lang w:eastAsia="ru-RU"/>
        </w:rPr>
        <w:t xml:space="preserve">(в том числе работ на высоте) </w:t>
      </w:r>
      <w:r w:rsidR="0054023D" w:rsidRPr="00777792">
        <w:rPr>
          <w:rFonts w:eastAsia="Times New Roman"/>
          <w:spacing w:val="-6"/>
          <w:sz w:val="30"/>
          <w:szCs w:val="30"/>
          <w:lang w:eastAsia="ru-RU"/>
        </w:rPr>
        <w:t xml:space="preserve">(далее – </w:t>
      </w:r>
      <w:r w:rsidR="0054023D" w:rsidRPr="0092539B">
        <w:rPr>
          <w:rFonts w:eastAsia="Times New Roman"/>
          <w:spacing w:val="-6"/>
          <w:sz w:val="30"/>
          <w:szCs w:val="30"/>
          <w:lang w:eastAsia="ru-RU"/>
        </w:rPr>
        <w:t xml:space="preserve">строительные работы) </w:t>
      </w:r>
      <w:r w:rsidR="0092539B" w:rsidRPr="0092539B">
        <w:rPr>
          <w:rFonts w:eastAsia="Times New Roman"/>
          <w:spacing w:val="-6"/>
          <w:sz w:val="30"/>
          <w:szCs w:val="30"/>
          <w:lang w:eastAsia="ru-RU"/>
        </w:rPr>
        <w:t xml:space="preserve">погибло </w:t>
      </w:r>
      <w:r w:rsidR="00777792" w:rsidRPr="0092539B">
        <w:rPr>
          <w:rFonts w:eastAsia="Times New Roman"/>
          <w:spacing w:val="-6"/>
          <w:sz w:val="30"/>
          <w:szCs w:val="30"/>
          <w:lang w:eastAsia="ru-RU"/>
        </w:rPr>
        <w:t>6</w:t>
      </w:r>
      <w:r w:rsidRPr="0092539B">
        <w:rPr>
          <w:rFonts w:eastAsia="Times New Roman"/>
          <w:spacing w:val="-6"/>
          <w:sz w:val="30"/>
          <w:szCs w:val="30"/>
          <w:lang w:eastAsia="ru-RU"/>
        </w:rPr>
        <w:t xml:space="preserve"> человек</w:t>
      </w:r>
      <w:r w:rsidR="00306E0B" w:rsidRPr="0092539B">
        <w:rPr>
          <w:rFonts w:eastAsia="Times New Roman"/>
          <w:spacing w:val="-6"/>
          <w:sz w:val="30"/>
          <w:szCs w:val="30"/>
          <w:lang w:eastAsia="ru-RU"/>
        </w:rPr>
        <w:t>, 2</w:t>
      </w:r>
      <w:r w:rsidR="00030F89">
        <w:rPr>
          <w:rFonts w:eastAsia="Times New Roman"/>
          <w:spacing w:val="-6"/>
          <w:sz w:val="30"/>
          <w:szCs w:val="30"/>
          <w:lang w:eastAsia="ru-RU"/>
        </w:rPr>
        <w:t>0</w:t>
      </w:r>
      <w:r w:rsidR="00777792" w:rsidRPr="0092539B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92539B" w:rsidRPr="0092539B">
        <w:rPr>
          <w:rFonts w:eastAsia="Times New Roman"/>
          <w:spacing w:val="-6"/>
          <w:sz w:val="30"/>
          <w:szCs w:val="30"/>
          <w:lang w:eastAsia="ru-RU"/>
        </w:rPr>
        <w:t>работник</w:t>
      </w:r>
      <w:r w:rsidR="00030F89">
        <w:rPr>
          <w:rFonts w:eastAsia="Times New Roman"/>
          <w:spacing w:val="-6"/>
          <w:sz w:val="30"/>
          <w:szCs w:val="30"/>
          <w:lang w:eastAsia="ru-RU"/>
        </w:rPr>
        <w:t>ов</w:t>
      </w:r>
      <w:r w:rsidR="00306E0B" w:rsidRPr="0092539B">
        <w:rPr>
          <w:rFonts w:eastAsia="Times New Roman"/>
          <w:spacing w:val="-6"/>
          <w:sz w:val="30"/>
          <w:szCs w:val="30"/>
          <w:lang w:eastAsia="ru-RU"/>
        </w:rPr>
        <w:t xml:space="preserve"> получил</w:t>
      </w:r>
      <w:r w:rsidR="00736A45">
        <w:rPr>
          <w:rFonts w:eastAsia="Times New Roman"/>
          <w:spacing w:val="-6"/>
          <w:sz w:val="30"/>
          <w:szCs w:val="30"/>
          <w:lang w:eastAsia="ru-RU"/>
        </w:rPr>
        <w:t>и</w:t>
      </w:r>
      <w:r w:rsidR="00306E0B" w:rsidRPr="0092539B">
        <w:rPr>
          <w:rFonts w:eastAsia="Times New Roman"/>
          <w:spacing w:val="-6"/>
          <w:sz w:val="30"/>
          <w:szCs w:val="30"/>
          <w:lang w:eastAsia="ru-RU"/>
        </w:rPr>
        <w:t xml:space="preserve"> тяжелые производственные травмы. </w:t>
      </w:r>
    </w:p>
    <w:p w:rsidR="00943A6B" w:rsidRDefault="00943A6B" w:rsidP="00282A29">
      <w:pPr>
        <w:rPr>
          <w:rFonts w:eastAsia="Times New Roman"/>
          <w:spacing w:val="-6"/>
          <w:sz w:val="20"/>
          <w:szCs w:val="20"/>
          <w:highlight w:val="yellow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B44487" wp14:editId="36AE8357">
            <wp:extent cx="6116128" cy="3519577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53DD" w:rsidRPr="00777792" w:rsidRDefault="00F0597E" w:rsidP="00E95D5E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271696">
        <w:rPr>
          <w:rFonts w:eastAsia="Times New Roman"/>
          <w:spacing w:val="-6"/>
          <w:sz w:val="30"/>
          <w:szCs w:val="30"/>
          <w:lang w:eastAsia="ru-RU"/>
        </w:rPr>
        <w:t>В 202</w:t>
      </w:r>
      <w:r w:rsidR="00271696" w:rsidRPr="00271696">
        <w:rPr>
          <w:rFonts w:eastAsia="Times New Roman"/>
          <w:spacing w:val="-6"/>
          <w:sz w:val="30"/>
          <w:szCs w:val="30"/>
          <w:lang w:eastAsia="ru-RU"/>
        </w:rPr>
        <w:t>4</w:t>
      </w:r>
      <w:r w:rsidRPr="00271696">
        <w:rPr>
          <w:rFonts w:eastAsia="Times New Roman"/>
          <w:spacing w:val="-6"/>
          <w:sz w:val="30"/>
          <w:szCs w:val="30"/>
          <w:lang w:eastAsia="ru-RU"/>
        </w:rPr>
        <w:t xml:space="preserve"> году, как и в 202</w:t>
      </w:r>
      <w:r w:rsidR="00271696" w:rsidRPr="00271696">
        <w:rPr>
          <w:rFonts w:eastAsia="Times New Roman"/>
          <w:spacing w:val="-6"/>
          <w:sz w:val="30"/>
          <w:szCs w:val="30"/>
          <w:lang w:eastAsia="ru-RU"/>
        </w:rPr>
        <w:t>3</w:t>
      </w:r>
      <w:r w:rsidRPr="00271696">
        <w:rPr>
          <w:rFonts w:eastAsia="Times New Roman"/>
          <w:spacing w:val="-6"/>
          <w:sz w:val="30"/>
          <w:szCs w:val="30"/>
          <w:lang w:eastAsia="ru-RU"/>
        </w:rPr>
        <w:t xml:space="preserve"> году н</w:t>
      </w:r>
      <w:r w:rsidR="004237D7" w:rsidRPr="00271696">
        <w:rPr>
          <w:rFonts w:eastAsia="Times New Roman"/>
          <w:spacing w:val="-6"/>
          <w:sz w:val="30"/>
          <w:szCs w:val="30"/>
          <w:lang w:eastAsia="ru-RU"/>
        </w:rPr>
        <w:t xml:space="preserve">аибольший удельный вес </w:t>
      </w:r>
      <w:r w:rsidR="00513BC5" w:rsidRPr="00271696">
        <w:rPr>
          <w:rFonts w:eastAsia="Times New Roman"/>
          <w:spacing w:val="-6"/>
          <w:sz w:val="30"/>
          <w:szCs w:val="30"/>
          <w:lang w:eastAsia="ru-RU"/>
        </w:rPr>
        <w:t>потерпевших с тяжелыми последствиями</w:t>
      </w:r>
      <w:r w:rsidRPr="00271696">
        <w:rPr>
          <w:rFonts w:eastAsia="Times New Roman"/>
          <w:spacing w:val="-6"/>
          <w:sz w:val="30"/>
          <w:szCs w:val="30"/>
          <w:lang w:eastAsia="ru-RU"/>
        </w:rPr>
        <w:t>,</w:t>
      </w:r>
      <w:r w:rsidR="002071B6" w:rsidRPr="00271696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E95D5E" w:rsidRPr="00271696">
        <w:rPr>
          <w:rFonts w:eastAsia="Times New Roman"/>
          <w:spacing w:val="-6"/>
          <w:sz w:val="30"/>
          <w:szCs w:val="30"/>
          <w:lang w:eastAsia="ru-RU"/>
        </w:rPr>
        <w:t>при</w:t>
      </w:r>
      <w:r w:rsidR="00870AA4" w:rsidRPr="00271696">
        <w:rPr>
          <w:rFonts w:eastAsia="Times New Roman"/>
          <w:spacing w:val="-6"/>
          <w:sz w:val="30"/>
          <w:szCs w:val="30"/>
          <w:lang w:eastAsia="ru-RU"/>
        </w:rPr>
        <w:t>ходится</w:t>
      </w:r>
      <w:r w:rsidR="00E95D5E" w:rsidRPr="00271696">
        <w:rPr>
          <w:rFonts w:eastAsia="Times New Roman"/>
          <w:spacing w:val="-6"/>
          <w:sz w:val="30"/>
          <w:szCs w:val="30"/>
          <w:lang w:eastAsia="ru-RU"/>
        </w:rPr>
        <w:t xml:space="preserve"> на организации </w:t>
      </w:r>
      <w:r w:rsidRPr="00271696">
        <w:rPr>
          <w:rFonts w:eastAsia="Times New Roman"/>
          <w:spacing w:val="-6"/>
          <w:sz w:val="30"/>
          <w:szCs w:val="30"/>
          <w:lang w:eastAsia="ru-RU"/>
        </w:rPr>
        <w:t>без ведомственной подчиненности</w:t>
      </w:r>
      <w:r w:rsidR="004253DD" w:rsidRPr="00777792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3A484C" w:rsidRPr="00F10088" w:rsidRDefault="003A484C" w:rsidP="00DA7F1F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20"/>
          <w:szCs w:val="20"/>
          <w:highlight w:val="yellow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C7DA46" wp14:editId="7B44D3B4">
            <wp:extent cx="6116128" cy="347644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A7F1F" w:rsidRPr="00F10088" w:rsidRDefault="00DA7F1F" w:rsidP="00DA7F1F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20"/>
          <w:szCs w:val="20"/>
          <w:highlight w:val="yellow"/>
          <w:lang w:eastAsia="ru-RU"/>
        </w:rPr>
      </w:pPr>
    </w:p>
    <w:p w:rsidR="004253DD" w:rsidRPr="005F43EF" w:rsidRDefault="00DB20C6" w:rsidP="004253DD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5F43EF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без ведомственной подчиненности количество погибших </w:t>
      </w:r>
      <w:r w:rsidR="00876F9E" w:rsidRPr="005F43EF">
        <w:rPr>
          <w:rFonts w:eastAsia="Times New Roman"/>
          <w:spacing w:val="-6"/>
          <w:sz w:val="30"/>
          <w:szCs w:val="30"/>
          <w:lang w:eastAsia="ru-RU"/>
        </w:rPr>
        <w:t xml:space="preserve">осталось на уровне </w:t>
      </w:r>
      <w:r w:rsidR="00876F9E" w:rsidRPr="005F43EF">
        <w:rPr>
          <w:rFonts w:eastAsia="Times New Roman"/>
          <w:spacing w:val="-6"/>
          <w:sz w:val="30"/>
          <w:szCs w:val="30"/>
          <w:lang w:eastAsia="ru-RU"/>
        </w:rPr>
        <w:t>2023 года (4 человека)</w:t>
      </w:r>
      <w:r w:rsidRPr="005F43EF">
        <w:rPr>
          <w:rFonts w:eastAsia="Times New Roman"/>
          <w:spacing w:val="-6"/>
          <w:sz w:val="30"/>
          <w:szCs w:val="30"/>
          <w:lang w:eastAsia="ru-RU"/>
        </w:rPr>
        <w:t xml:space="preserve">, количество потерпевших, получивших тяжелые производственные травмы, </w:t>
      </w:r>
      <w:r w:rsidR="00876F9E" w:rsidRPr="005F43EF">
        <w:rPr>
          <w:rFonts w:eastAsia="Times New Roman"/>
          <w:spacing w:val="-6"/>
          <w:sz w:val="30"/>
          <w:szCs w:val="30"/>
          <w:lang w:eastAsia="ru-RU"/>
        </w:rPr>
        <w:t xml:space="preserve">уменьшилось </w:t>
      </w:r>
      <w:r w:rsidRPr="005F43EF">
        <w:rPr>
          <w:rFonts w:eastAsia="Times New Roman"/>
          <w:spacing w:val="-6"/>
          <w:sz w:val="30"/>
          <w:szCs w:val="30"/>
          <w:lang w:eastAsia="ru-RU"/>
        </w:rPr>
        <w:t xml:space="preserve">на </w:t>
      </w:r>
      <w:r w:rsidR="00876F9E" w:rsidRPr="005F43EF">
        <w:rPr>
          <w:rFonts w:eastAsia="Times New Roman"/>
          <w:spacing w:val="-6"/>
          <w:sz w:val="30"/>
          <w:szCs w:val="30"/>
          <w:lang w:eastAsia="ru-RU"/>
        </w:rPr>
        <w:t>5</w:t>
      </w:r>
      <w:r w:rsidRPr="005F43EF">
        <w:rPr>
          <w:rFonts w:eastAsia="Times New Roman"/>
          <w:spacing w:val="-6"/>
          <w:sz w:val="30"/>
          <w:szCs w:val="30"/>
          <w:lang w:eastAsia="ru-RU"/>
        </w:rPr>
        <w:t xml:space="preserve"> человек.</w:t>
      </w:r>
    </w:p>
    <w:p w:rsidR="004C57DF" w:rsidRPr="00876F9E" w:rsidRDefault="004C57DF" w:rsidP="004C57DF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876F9E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республиканской формы собственности не отмечено случаев гибели людей в результате несчастных случаев на производстве. Количество потерпевших, получивших тяжелые производственные травмы, уменьшилось на </w:t>
      </w:r>
      <w:r w:rsidR="00876F9E">
        <w:rPr>
          <w:rFonts w:eastAsia="Times New Roman"/>
          <w:spacing w:val="-6"/>
          <w:sz w:val="30"/>
          <w:szCs w:val="30"/>
          <w:lang w:eastAsia="ru-RU"/>
        </w:rPr>
        <w:t>4</w:t>
      </w:r>
      <w:r w:rsidRPr="00876F9E">
        <w:rPr>
          <w:rFonts w:eastAsia="Times New Roman"/>
          <w:spacing w:val="-6"/>
          <w:sz w:val="30"/>
          <w:szCs w:val="30"/>
          <w:lang w:eastAsia="ru-RU"/>
        </w:rPr>
        <w:t xml:space="preserve"> человека.</w:t>
      </w:r>
    </w:p>
    <w:p w:rsidR="004C57DF" w:rsidRPr="005F43EF" w:rsidRDefault="004C57DF" w:rsidP="004C57DF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5F43EF">
        <w:rPr>
          <w:rFonts w:eastAsia="Times New Roman"/>
          <w:spacing w:val="-6"/>
          <w:sz w:val="30"/>
          <w:szCs w:val="30"/>
          <w:lang w:eastAsia="ru-RU"/>
        </w:rPr>
        <w:t>В организациях коммунальной подчиненности количество погибших</w:t>
      </w:r>
      <w:r w:rsidRPr="005F43EF">
        <w:rPr>
          <w:rFonts w:eastAsia="Times New Roman"/>
          <w:spacing w:val="-6"/>
          <w:sz w:val="30"/>
          <w:szCs w:val="30"/>
          <w:lang w:eastAsia="ru-RU"/>
        </w:rPr>
        <w:br/>
        <w:t xml:space="preserve">на производстве </w:t>
      </w:r>
      <w:r w:rsidR="005F43EF" w:rsidRPr="005F43EF">
        <w:rPr>
          <w:rFonts w:eastAsia="Times New Roman"/>
          <w:spacing w:val="-6"/>
          <w:sz w:val="30"/>
          <w:szCs w:val="30"/>
          <w:lang w:eastAsia="ru-RU"/>
        </w:rPr>
        <w:t xml:space="preserve">уменьшилось на 1 человека, </w:t>
      </w:r>
      <w:r w:rsidRPr="005F43EF">
        <w:rPr>
          <w:rFonts w:eastAsia="Times New Roman"/>
          <w:spacing w:val="-6"/>
          <w:sz w:val="30"/>
          <w:szCs w:val="30"/>
          <w:lang w:eastAsia="ru-RU"/>
        </w:rPr>
        <w:t xml:space="preserve">потерпевших, получивших тяжелые производственные травмы, увеличилось на </w:t>
      </w:r>
      <w:r w:rsidR="005F43EF" w:rsidRPr="005F43EF">
        <w:rPr>
          <w:rFonts w:eastAsia="Times New Roman"/>
          <w:spacing w:val="-6"/>
          <w:sz w:val="30"/>
          <w:szCs w:val="30"/>
          <w:lang w:eastAsia="ru-RU"/>
        </w:rPr>
        <w:t>1</w:t>
      </w:r>
      <w:r w:rsidRPr="005F43EF">
        <w:rPr>
          <w:rFonts w:eastAsia="Times New Roman"/>
          <w:spacing w:val="-6"/>
          <w:sz w:val="30"/>
          <w:szCs w:val="30"/>
          <w:lang w:eastAsia="ru-RU"/>
        </w:rPr>
        <w:t xml:space="preserve"> человека.</w:t>
      </w:r>
    </w:p>
    <w:p w:rsidR="00513BC5" w:rsidRDefault="00513BC5" w:rsidP="00DB20C6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20"/>
          <w:szCs w:val="20"/>
          <w:highlight w:val="yellow"/>
          <w:lang w:eastAsia="ru-RU"/>
        </w:rPr>
      </w:pPr>
    </w:p>
    <w:p w:rsidR="005E5464" w:rsidRDefault="005E5464" w:rsidP="00DB20C6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20"/>
          <w:szCs w:val="20"/>
          <w:highlight w:val="yellow"/>
          <w:lang w:eastAsia="ru-RU"/>
        </w:rPr>
      </w:pPr>
      <w:r>
        <w:rPr>
          <w:noProof/>
          <w:lang w:eastAsia="ru-RU"/>
        </w:rPr>
        <w:drawing>
          <wp:inline distT="0" distB="0" distL="0" distR="0" wp14:anchorId="7C2F058E" wp14:editId="7C5DD63D">
            <wp:extent cx="6116128" cy="433046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E5464" w:rsidRDefault="005E5464" w:rsidP="00DB20C6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20"/>
          <w:szCs w:val="20"/>
          <w:highlight w:val="yellow"/>
          <w:lang w:eastAsia="ru-RU"/>
        </w:rPr>
      </w:pPr>
    </w:p>
    <w:p w:rsidR="00862264" w:rsidRDefault="00862264" w:rsidP="0086226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091593">
        <w:rPr>
          <w:rFonts w:eastAsia="Times New Roman"/>
          <w:spacing w:val="-6"/>
          <w:sz w:val="30"/>
          <w:szCs w:val="30"/>
          <w:lang w:eastAsia="ru-RU"/>
        </w:rPr>
        <w:t>В организациях, подчиненных (подведомственных) комитету</w:t>
      </w:r>
      <w:r w:rsidRPr="00091593">
        <w:rPr>
          <w:rFonts w:eastAsia="Times New Roman"/>
          <w:spacing w:val="-6"/>
          <w:sz w:val="30"/>
          <w:szCs w:val="30"/>
          <w:lang w:eastAsia="ru-RU"/>
        </w:rPr>
        <w:br/>
        <w:t>по сельскому хозяйству и продовольствию облисполкома, при выполнении кровельных работ 1 работник погиб, 3 человека получили тяжелые производственные травмы.</w:t>
      </w:r>
    </w:p>
    <w:p w:rsidR="00862264" w:rsidRPr="00F10088" w:rsidRDefault="00862264" w:rsidP="00862264">
      <w:pPr>
        <w:rPr>
          <w:rFonts w:eastAsia="Times New Roman"/>
          <w:sz w:val="16"/>
          <w:szCs w:val="16"/>
          <w:highlight w:val="yellow"/>
          <w:lang w:eastAsia="ru-RU"/>
        </w:rPr>
      </w:pPr>
    </w:p>
    <w:p w:rsidR="00862264" w:rsidRDefault="00862264" w:rsidP="00862264">
      <w:pPr>
        <w:spacing w:line="280" w:lineRule="exact"/>
        <w:ind w:firstLine="709"/>
        <w:rPr>
          <w:rFonts w:eastAsia="Times New Roman"/>
          <w:i/>
          <w:spacing w:val="-6"/>
          <w:sz w:val="30"/>
          <w:szCs w:val="30"/>
          <w:highlight w:val="yellow"/>
          <w:lang w:eastAsia="ru-RU"/>
        </w:rPr>
      </w:pPr>
      <w:proofErr w:type="spellStart"/>
      <w:r w:rsidRPr="005A7756">
        <w:rPr>
          <w:rFonts w:eastAsia="Times New Roman"/>
          <w:i/>
          <w:spacing w:val="-6"/>
          <w:sz w:val="30"/>
          <w:szCs w:val="30"/>
          <w:lang w:eastAsia="ru-RU"/>
        </w:rPr>
        <w:t>Справочно</w:t>
      </w:r>
      <w:proofErr w:type="spellEnd"/>
      <w:r w:rsidRPr="005A7756">
        <w:rPr>
          <w:rFonts w:eastAsia="Times New Roman"/>
          <w:i/>
          <w:spacing w:val="-6"/>
          <w:sz w:val="30"/>
          <w:szCs w:val="30"/>
          <w:lang w:eastAsia="ru-RU"/>
        </w:rPr>
        <w:t xml:space="preserve">. Во время выполнения работ по замене поврежденных листов поликарбоната световых проемов на крыше коровника </w:t>
      </w:r>
      <w:r>
        <w:rPr>
          <w:rFonts w:eastAsia="Times New Roman"/>
          <w:i/>
          <w:spacing w:val="-6"/>
          <w:sz w:val="30"/>
          <w:szCs w:val="30"/>
          <w:lang w:eastAsia="ru-RU"/>
        </w:rPr>
        <w:t xml:space="preserve">молочно-товарного комплекса </w:t>
      </w:r>
      <w:r w:rsidRPr="005A7756">
        <w:rPr>
          <w:rFonts w:eastAsia="Times New Roman"/>
          <w:i/>
          <w:spacing w:val="-6"/>
          <w:sz w:val="30"/>
          <w:szCs w:val="30"/>
          <w:lang w:eastAsia="ru-RU"/>
        </w:rPr>
        <w:t xml:space="preserve">«М. Новоселки» 31.10.2024 каменщик </w:t>
      </w:r>
      <w:r>
        <w:rPr>
          <w:rFonts w:eastAsia="Times New Roman"/>
          <w:i/>
          <w:spacing w:val="-6"/>
          <w:sz w:val="30"/>
          <w:szCs w:val="30"/>
          <w:lang w:eastAsia="ru-RU"/>
        </w:rPr>
        <w:br/>
      </w:r>
      <w:r w:rsidRPr="005A7756">
        <w:rPr>
          <w:rFonts w:eastAsia="Times New Roman"/>
          <w:i/>
          <w:spacing w:val="-6"/>
          <w:sz w:val="30"/>
          <w:szCs w:val="30"/>
          <w:lang w:eastAsia="ru-RU"/>
        </w:rPr>
        <w:t>ОАО «</w:t>
      </w:r>
      <w:proofErr w:type="spellStart"/>
      <w:r w:rsidRPr="005A7756">
        <w:rPr>
          <w:rFonts w:eastAsia="Times New Roman"/>
          <w:i/>
          <w:spacing w:val="-6"/>
          <w:sz w:val="30"/>
          <w:szCs w:val="30"/>
          <w:lang w:eastAsia="ru-RU"/>
        </w:rPr>
        <w:t>Крутогорье-Петковичи</w:t>
      </w:r>
      <w:proofErr w:type="spellEnd"/>
      <w:r w:rsidRPr="005A7756">
        <w:rPr>
          <w:rFonts w:eastAsia="Times New Roman"/>
          <w:i/>
          <w:spacing w:val="-6"/>
          <w:sz w:val="30"/>
          <w:szCs w:val="30"/>
          <w:lang w:eastAsia="ru-RU"/>
        </w:rPr>
        <w:t>» (Дзержинский район) упал с крыши здания коровника с высоты 6,6 м, получив смертельную травму.</w:t>
      </w:r>
    </w:p>
    <w:p w:rsidR="00862264" w:rsidRDefault="00862264" w:rsidP="00862264">
      <w:pPr>
        <w:spacing w:line="280" w:lineRule="exact"/>
        <w:ind w:firstLine="709"/>
        <w:rPr>
          <w:rFonts w:eastAsia="Times New Roman"/>
          <w:i/>
          <w:spacing w:val="-6"/>
          <w:sz w:val="30"/>
          <w:szCs w:val="30"/>
          <w:highlight w:val="yellow"/>
          <w:lang w:eastAsia="ru-RU"/>
        </w:rPr>
      </w:pPr>
      <w:r>
        <w:rPr>
          <w:rFonts w:eastAsia="Times New Roman"/>
          <w:i/>
          <w:spacing w:val="-6"/>
          <w:sz w:val="30"/>
          <w:szCs w:val="30"/>
          <w:lang w:eastAsia="ru-RU"/>
        </w:rPr>
        <w:t xml:space="preserve">При выполнении работ по </w:t>
      </w:r>
      <w:r w:rsidRPr="005A7756">
        <w:rPr>
          <w:rFonts w:eastAsia="Times New Roman"/>
          <w:i/>
          <w:spacing w:val="-6"/>
          <w:sz w:val="30"/>
          <w:szCs w:val="30"/>
          <w:lang w:eastAsia="ru-RU"/>
        </w:rPr>
        <w:t>ремонт</w:t>
      </w:r>
      <w:r>
        <w:rPr>
          <w:rFonts w:eastAsia="Times New Roman"/>
          <w:i/>
          <w:spacing w:val="-6"/>
          <w:sz w:val="30"/>
          <w:szCs w:val="30"/>
          <w:lang w:eastAsia="ru-RU"/>
        </w:rPr>
        <w:t>у</w:t>
      </w:r>
      <w:r w:rsidRPr="005A7756">
        <w:rPr>
          <w:rFonts w:eastAsia="Times New Roman"/>
          <w:i/>
          <w:spacing w:val="-6"/>
          <w:sz w:val="30"/>
          <w:szCs w:val="30"/>
          <w:lang w:eastAsia="ru-RU"/>
        </w:rPr>
        <w:t xml:space="preserve"> кровельного покрытия сара</w:t>
      </w:r>
      <w:r>
        <w:rPr>
          <w:rFonts w:eastAsia="Times New Roman"/>
          <w:i/>
          <w:spacing w:val="-6"/>
          <w:sz w:val="30"/>
          <w:szCs w:val="30"/>
          <w:lang w:eastAsia="ru-RU"/>
        </w:rPr>
        <w:t>я</w:t>
      </w:r>
      <w:r w:rsidRPr="005A7756">
        <w:rPr>
          <w:rFonts w:eastAsia="Times New Roman"/>
          <w:i/>
          <w:spacing w:val="-6"/>
          <w:sz w:val="30"/>
          <w:szCs w:val="30"/>
          <w:lang w:eastAsia="ru-RU"/>
        </w:rPr>
        <w:t xml:space="preserve"> для содержания телят</w:t>
      </w:r>
      <w:r>
        <w:rPr>
          <w:rFonts w:eastAsia="Times New Roman"/>
          <w:i/>
          <w:spacing w:val="-6"/>
          <w:sz w:val="30"/>
          <w:szCs w:val="30"/>
          <w:lang w:eastAsia="ru-RU"/>
        </w:rPr>
        <w:t xml:space="preserve"> молочно-товарной фермы «</w:t>
      </w:r>
      <w:proofErr w:type="spellStart"/>
      <w:r>
        <w:rPr>
          <w:rFonts w:eastAsia="Times New Roman"/>
          <w:i/>
          <w:spacing w:val="-6"/>
          <w:sz w:val="30"/>
          <w:szCs w:val="30"/>
          <w:lang w:eastAsia="ru-RU"/>
        </w:rPr>
        <w:t>Вязье</w:t>
      </w:r>
      <w:proofErr w:type="spellEnd"/>
      <w:r>
        <w:rPr>
          <w:rFonts w:eastAsia="Times New Roman"/>
          <w:i/>
          <w:spacing w:val="-6"/>
          <w:sz w:val="30"/>
          <w:szCs w:val="30"/>
          <w:lang w:eastAsia="ru-RU"/>
        </w:rPr>
        <w:t xml:space="preserve">» 10.09.2024 </w:t>
      </w:r>
      <w:r w:rsidRPr="005A7756">
        <w:rPr>
          <w:rFonts w:eastAsia="Times New Roman"/>
          <w:i/>
          <w:spacing w:val="-6"/>
          <w:sz w:val="30"/>
          <w:szCs w:val="30"/>
          <w:lang w:eastAsia="ru-RU"/>
        </w:rPr>
        <w:t>гражданин, работающий по договору оказания услуг</w:t>
      </w:r>
      <w:r w:rsidRPr="005A7756">
        <w:t xml:space="preserve"> </w:t>
      </w:r>
      <w:r>
        <w:t xml:space="preserve">по </w:t>
      </w:r>
      <w:r w:rsidRPr="005A7756">
        <w:rPr>
          <w:rFonts w:eastAsia="Times New Roman"/>
          <w:i/>
          <w:spacing w:val="-6"/>
          <w:sz w:val="30"/>
          <w:szCs w:val="30"/>
          <w:lang w:eastAsia="ru-RU"/>
        </w:rPr>
        <w:t>выполн</w:t>
      </w:r>
      <w:r>
        <w:rPr>
          <w:rFonts w:eastAsia="Times New Roman"/>
          <w:i/>
          <w:spacing w:val="-6"/>
          <w:sz w:val="30"/>
          <w:szCs w:val="30"/>
          <w:lang w:eastAsia="ru-RU"/>
        </w:rPr>
        <w:t>ению</w:t>
      </w:r>
      <w:r w:rsidRPr="005A7756">
        <w:rPr>
          <w:rFonts w:eastAsia="Times New Roman"/>
          <w:i/>
          <w:spacing w:val="-6"/>
          <w:sz w:val="30"/>
          <w:szCs w:val="30"/>
          <w:lang w:eastAsia="ru-RU"/>
        </w:rPr>
        <w:t xml:space="preserve"> сварочны</w:t>
      </w:r>
      <w:r>
        <w:rPr>
          <w:rFonts w:eastAsia="Times New Roman"/>
          <w:i/>
          <w:spacing w:val="-6"/>
          <w:sz w:val="30"/>
          <w:szCs w:val="30"/>
          <w:lang w:eastAsia="ru-RU"/>
        </w:rPr>
        <w:t>х работ</w:t>
      </w:r>
      <w:r w:rsidRPr="005A7756">
        <w:rPr>
          <w:rFonts w:eastAsia="Times New Roman"/>
          <w:i/>
          <w:spacing w:val="-6"/>
          <w:sz w:val="30"/>
          <w:szCs w:val="30"/>
          <w:lang w:eastAsia="ru-RU"/>
        </w:rPr>
        <w:t>, заключенному с ОАО «</w:t>
      </w:r>
      <w:proofErr w:type="spellStart"/>
      <w:r w:rsidRPr="005A7756">
        <w:rPr>
          <w:rFonts w:eastAsia="Times New Roman"/>
          <w:i/>
          <w:spacing w:val="-6"/>
          <w:sz w:val="30"/>
          <w:szCs w:val="30"/>
          <w:lang w:eastAsia="ru-RU"/>
        </w:rPr>
        <w:t>Погостский</w:t>
      </w:r>
      <w:proofErr w:type="spellEnd"/>
      <w:r w:rsidRPr="005A7756">
        <w:rPr>
          <w:rFonts w:eastAsia="Times New Roman"/>
          <w:i/>
          <w:spacing w:val="-6"/>
          <w:sz w:val="30"/>
          <w:szCs w:val="30"/>
          <w:lang w:eastAsia="ru-RU"/>
        </w:rPr>
        <w:t>» (Березинский район) упал с крыши на бетонную площадку, получив тяжелую травму.</w:t>
      </w:r>
    </w:p>
    <w:p w:rsidR="00862264" w:rsidRDefault="00862264" w:rsidP="00862264">
      <w:pPr>
        <w:spacing w:line="280" w:lineRule="exact"/>
        <w:ind w:firstLine="709"/>
        <w:rPr>
          <w:rFonts w:eastAsia="Times New Roman"/>
          <w:i/>
          <w:spacing w:val="-6"/>
          <w:sz w:val="30"/>
          <w:szCs w:val="30"/>
          <w:lang w:eastAsia="ru-RU"/>
        </w:rPr>
      </w:pPr>
      <w:r w:rsidRPr="005A7756">
        <w:rPr>
          <w:rFonts w:eastAsia="Times New Roman"/>
          <w:i/>
          <w:spacing w:val="-6"/>
          <w:sz w:val="30"/>
          <w:szCs w:val="30"/>
          <w:lang w:eastAsia="ru-RU"/>
        </w:rPr>
        <w:t>При выполнении кровельных работ на навесе для хранения сельскохозяйственной техники 16.03.2024 рабочий по комплексному обслуживанию и ремонту зданий и сооружений ОАО «</w:t>
      </w:r>
      <w:proofErr w:type="spellStart"/>
      <w:r w:rsidRPr="005A7756">
        <w:rPr>
          <w:rFonts w:eastAsia="Times New Roman"/>
          <w:i/>
          <w:spacing w:val="-6"/>
          <w:sz w:val="30"/>
          <w:szCs w:val="30"/>
          <w:lang w:eastAsia="ru-RU"/>
        </w:rPr>
        <w:t>Кухчицы</w:t>
      </w:r>
      <w:proofErr w:type="spellEnd"/>
      <w:r w:rsidRPr="005A7756">
        <w:rPr>
          <w:rFonts w:eastAsia="Times New Roman"/>
          <w:i/>
          <w:spacing w:val="-6"/>
          <w:sz w:val="30"/>
          <w:szCs w:val="30"/>
          <w:lang w:eastAsia="ru-RU"/>
        </w:rPr>
        <w:t>» (Клецкий район) упал с крыши на землю, получив тяжелую травму.</w:t>
      </w:r>
    </w:p>
    <w:p w:rsidR="00862264" w:rsidRPr="00DE04BB" w:rsidRDefault="00862264" w:rsidP="00862264">
      <w:pPr>
        <w:spacing w:line="280" w:lineRule="exact"/>
        <w:ind w:firstLine="709"/>
        <w:rPr>
          <w:rFonts w:eastAsia="Times New Roman"/>
          <w:i/>
          <w:spacing w:val="-6"/>
          <w:sz w:val="16"/>
          <w:szCs w:val="16"/>
          <w:highlight w:val="yellow"/>
          <w:lang w:eastAsia="ru-RU"/>
        </w:rPr>
      </w:pPr>
    </w:p>
    <w:p w:rsidR="00862264" w:rsidRDefault="005F43EF" w:rsidP="005F43EF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proofErr w:type="gramStart"/>
      <w:r w:rsidRPr="00091593">
        <w:rPr>
          <w:rFonts w:eastAsia="Times New Roman"/>
          <w:spacing w:val="-6"/>
          <w:sz w:val="30"/>
          <w:szCs w:val="30"/>
          <w:lang w:eastAsia="ru-RU"/>
        </w:rPr>
        <w:t>В организациях, подчиненных (подведомственных) комитету</w:t>
      </w:r>
      <w:r w:rsidRPr="00091593">
        <w:rPr>
          <w:rFonts w:eastAsia="Times New Roman"/>
          <w:spacing w:val="-6"/>
          <w:sz w:val="30"/>
          <w:szCs w:val="30"/>
          <w:lang w:eastAsia="ru-RU"/>
        </w:rPr>
        <w:br/>
      </w:r>
      <w:r w:rsidRPr="005F43EF">
        <w:rPr>
          <w:rFonts w:eastAsia="Times New Roman"/>
          <w:spacing w:val="-6"/>
          <w:sz w:val="30"/>
          <w:szCs w:val="30"/>
          <w:lang w:eastAsia="ru-RU"/>
        </w:rPr>
        <w:t>по архитектуре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5F43EF">
        <w:rPr>
          <w:rFonts w:eastAsia="Times New Roman"/>
          <w:spacing w:val="-6"/>
          <w:sz w:val="30"/>
          <w:szCs w:val="30"/>
          <w:lang w:eastAsia="ru-RU"/>
        </w:rPr>
        <w:t>и строительству</w:t>
      </w:r>
      <w:r w:rsidRPr="00091593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091593">
        <w:rPr>
          <w:rFonts w:eastAsia="Times New Roman"/>
          <w:spacing w:val="-6"/>
          <w:sz w:val="30"/>
          <w:szCs w:val="30"/>
          <w:lang w:eastAsia="ru-RU"/>
        </w:rPr>
        <w:t>облисполкома, погиб</w:t>
      </w:r>
      <w:r w:rsidRPr="00091593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091593">
        <w:rPr>
          <w:rFonts w:eastAsia="Times New Roman"/>
          <w:spacing w:val="-6"/>
          <w:sz w:val="30"/>
          <w:szCs w:val="30"/>
          <w:lang w:eastAsia="ru-RU"/>
        </w:rPr>
        <w:t>1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091593">
        <w:rPr>
          <w:rFonts w:eastAsia="Times New Roman"/>
          <w:spacing w:val="-6"/>
          <w:sz w:val="30"/>
          <w:szCs w:val="30"/>
          <w:lang w:eastAsia="ru-RU"/>
        </w:rPr>
        <w:t>человек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(</w:t>
      </w:r>
      <w:r w:rsidRPr="005F43EF">
        <w:rPr>
          <w:rFonts w:eastAsia="Times New Roman"/>
          <w:spacing w:val="-6"/>
          <w:sz w:val="30"/>
          <w:szCs w:val="30"/>
          <w:lang w:eastAsia="ru-RU"/>
        </w:rPr>
        <w:t>ДУП «ПМК № 182» УП «Минскоблсельстрой» (Березинский район)</w:t>
      </w:r>
      <w:r w:rsidR="00862264">
        <w:rPr>
          <w:rFonts w:eastAsia="Times New Roman"/>
          <w:spacing w:val="-6"/>
          <w:sz w:val="30"/>
          <w:szCs w:val="30"/>
          <w:lang w:eastAsia="ru-RU"/>
        </w:rPr>
        <w:t xml:space="preserve"> и</w:t>
      </w:r>
      <w:r w:rsidRPr="00091593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862264">
        <w:rPr>
          <w:rFonts w:eastAsia="Times New Roman"/>
          <w:spacing w:val="-6"/>
          <w:sz w:val="30"/>
          <w:szCs w:val="30"/>
          <w:lang w:eastAsia="ru-RU"/>
        </w:rPr>
        <w:t>1</w:t>
      </w:r>
      <w:r w:rsidRPr="00091593">
        <w:rPr>
          <w:rFonts w:eastAsia="Times New Roman"/>
          <w:spacing w:val="-6"/>
          <w:sz w:val="30"/>
          <w:szCs w:val="30"/>
          <w:lang w:eastAsia="ru-RU"/>
        </w:rPr>
        <w:t xml:space="preserve"> работник</w:t>
      </w:r>
      <w:r w:rsidRPr="00091593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091593">
        <w:rPr>
          <w:rFonts w:eastAsia="Times New Roman"/>
          <w:spacing w:val="-6"/>
          <w:sz w:val="30"/>
          <w:szCs w:val="30"/>
          <w:lang w:eastAsia="ru-RU"/>
        </w:rPr>
        <w:t>получил тяжел</w:t>
      </w:r>
      <w:r w:rsidR="00862264">
        <w:rPr>
          <w:rFonts w:eastAsia="Times New Roman"/>
          <w:spacing w:val="-6"/>
          <w:sz w:val="30"/>
          <w:szCs w:val="30"/>
          <w:lang w:eastAsia="ru-RU"/>
        </w:rPr>
        <w:t>ую</w:t>
      </w:r>
      <w:r w:rsidRPr="00091593">
        <w:rPr>
          <w:rFonts w:eastAsia="Times New Roman"/>
          <w:spacing w:val="-6"/>
          <w:sz w:val="30"/>
          <w:szCs w:val="30"/>
          <w:lang w:eastAsia="ru-RU"/>
        </w:rPr>
        <w:t xml:space="preserve"> производственн</w:t>
      </w:r>
      <w:r w:rsidR="00862264">
        <w:rPr>
          <w:rFonts w:eastAsia="Times New Roman"/>
          <w:spacing w:val="-6"/>
          <w:sz w:val="30"/>
          <w:szCs w:val="30"/>
          <w:lang w:eastAsia="ru-RU"/>
        </w:rPr>
        <w:t>ую</w:t>
      </w:r>
      <w:r w:rsidRPr="00091593">
        <w:rPr>
          <w:rFonts w:eastAsia="Times New Roman"/>
          <w:spacing w:val="-6"/>
          <w:sz w:val="30"/>
          <w:szCs w:val="30"/>
          <w:lang w:eastAsia="ru-RU"/>
        </w:rPr>
        <w:t xml:space="preserve"> травм</w:t>
      </w:r>
      <w:r w:rsidR="00862264">
        <w:rPr>
          <w:rFonts w:eastAsia="Times New Roman"/>
          <w:spacing w:val="-6"/>
          <w:sz w:val="30"/>
          <w:szCs w:val="30"/>
          <w:lang w:eastAsia="ru-RU"/>
        </w:rPr>
        <w:t>у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(</w:t>
      </w:r>
      <w:r w:rsidR="00435BC4">
        <w:rPr>
          <w:rFonts w:eastAsia="Times New Roman"/>
          <w:spacing w:val="-6"/>
          <w:sz w:val="30"/>
          <w:szCs w:val="30"/>
          <w:lang w:eastAsia="ru-RU"/>
        </w:rPr>
        <w:t xml:space="preserve">ОАО </w:t>
      </w:r>
      <w:r w:rsidR="00435BC4" w:rsidRPr="00435BC4">
        <w:rPr>
          <w:rFonts w:eastAsia="Times New Roman"/>
          <w:spacing w:val="-6"/>
          <w:sz w:val="30"/>
          <w:szCs w:val="30"/>
          <w:lang w:eastAsia="ru-RU"/>
        </w:rPr>
        <w:t>«Солигорский домостроительный комбинат»</w:t>
      </w:r>
      <w:r w:rsidR="00862264">
        <w:rPr>
          <w:rFonts w:eastAsia="Times New Roman"/>
          <w:spacing w:val="-6"/>
          <w:sz w:val="30"/>
          <w:szCs w:val="30"/>
          <w:lang w:eastAsia="ru-RU"/>
        </w:rPr>
        <w:t>.</w:t>
      </w:r>
      <w:proofErr w:type="gramEnd"/>
    </w:p>
    <w:p w:rsidR="005F43EF" w:rsidRDefault="00862264" w:rsidP="005F43EF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862264">
        <w:rPr>
          <w:rFonts w:eastAsia="Times New Roman"/>
          <w:spacing w:val="-6"/>
          <w:sz w:val="30"/>
          <w:szCs w:val="30"/>
          <w:lang w:eastAsia="ru-RU"/>
        </w:rPr>
        <w:t xml:space="preserve">Несчастный случай с тяжелым исходом произошел в </w:t>
      </w:r>
      <w:r w:rsidR="00CF03F3" w:rsidRPr="00862264">
        <w:rPr>
          <w:rFonts w:eastAsia="Times New Roman"/>
          <w:spacing w:val="-6"/>
          <w:sz w:val="30"/>
          <w:szCs w:val="30"/>
          <w:lang w:eastAsia="ru-RU"/>
        </w:rPr>
        <w:t xml:space="preserve">ПМК № 79 </w:t>
      </w:r>
      <w:r w:rsidRPr="00862264">
        <w:rPr>
          <w:rFonts w:eastAsia="Times New Roman"/>
          <w:spacing w:val="-6"/>
          <w:sz w:val="30"/>
          <w:szCs w:val="30"/>
          <w:lang w:eastAsia="ru-RU"/>
        </w:rPr>
        <w:br/>
      </w:r>
      <w:r w:rsidR="00CF03F3" w:rsidRPr="00862264">
        <w:rPr>
          <w:rFonts w:eastAsia="Times New Roman"/>
          <w:spacing w:val="-6"/>
          <w:sz w:val="30"/>
          <w:szCs w:val="30"/>
          <w:lang w:eastAsia="ru-RU"/>
        </w:rPr>
        <w:t>ОАО «</w:t>
      </w:r>
      <w:proofErr w:type="spellStart"/>
      <w:r w:rsidR="00CF03F3" w:rsidRPr="00862264">
        <w:rPr>
          <w:rFonts w:eastAsia="Times New Roman"/>
          <w:spacing w:val="-6"/>
          <w:sz w:val="30"/>
          <w:szCs w:val="30"/>
          <w:lang w:eastAsia="ru-RU"/>
        </w:rPr>
        <w:t>Солигорскводстрой</w:t>
      </w:r>
      <w:proofErr w:type="spellEnd"/>
      <w:r w:rsidR="00CF03F3" w:rsidRPr="00862264">
        <w:rPr>
          <w:rFonts w:eastAsia="Times New Roman"/>
          <w:spacing w:val="-6"/>
          <w:sz w:val="30"/>
          <w:szCs w:val="30"/>
          <w:lang w:eastAsia="ru-RU"/>
        </w:rPr>
        <w:t>»</w:t>
      </w:r>
      <w:r w:rsidRPr="00862264">
        <w:rPr>
          <w:rFonts w:eastAsia="Times New Roman"/>
          <w:spacing w:val="-6"/>
          <w:sz w:val="30"/>
          <w:szCs w:val="30"/>
          <w:lang w:eastAsia="ru-RU"/>
        </w:rPr>
        <w:t>,</w:t>
      </w:r>
      <w:r w:rsidRPr="00862264">
        <w:t xml:space="preserve"> </w:t>
      </w:r>
      <w:r w:rsidRPr="00862264">
        <w:rPr>
          <w:rFonts w:eastAsia="Times New Roman"/>
          <w:spacing w:val="-6"/>
          <w:sz w:val="30"/>
          <w:szCs w:val="30"/>
          <w:lang w:eastAsia="ru-RU"/>
        </w:rPr>
        <w:t xml:space="preserve">органом управления которого является государственное учреждение «Объединение </w:t>
      </w:r>
      <w:proofErr w:type="spellStart"/>
      <w:r w:rsidRPr="00862264">
        <w:rPr>
          <w:rFonts w:eastAsia="Times New Roman"/>
          <w:spacing w:val="-6"/>
          <w:sz w:val="30"/>
          <w:szCs w:val="30"/>
          <w:lang w:eastAsia="ru-RU"/>
        </w:rPr>
        <w:t>Минскмелиоводхоз</w:t>
      </w:r>
      <w:proofErr w:type="spellEnd"/>
      <w:r w:rsidRPr="00862264">
        <w:rPr>
          <w:rFonts w:eastAsia="Times New Roman"/>
          <w:spacing w:val="-6"/>
          <w:sz w:val="30"/>
          <w:szCs w:val="30"/>
          <w:lang w:eastAsia="ru-RU"/>
        </w:rPr>
        <w:t>».</w:t>
      </w:r>
    </w:p>
    <w:p w:rsidR="00091593" w:rsidRDefault="00B3688B" w:rsidP="000038C4">
      <w:pPr>
        <w:ind w:firstLine="709"/>
        <w:rPr>
          <w:sz w:val="30"/>
          <w:szCs w:val="30"/>
        </w:rPr>
      </w:pPr>
      <w:r w:rsidRPr="00C87170">
        <w:rPr>
          <w:color w:val="000000"/>
          <w:spacing w:val="-6"/>
          <w:sz w:val="30"/>
          <w:szCs w:val="30"/>
        </w:rPr>
        <w:t>Наиболее подверженн</w:t>
      </w:r>
      <w:r w:rsidR="00C87170">
        <w:rPr>
          <w:color w:val="000000"/>
          <w:spacing w:val="-6"/>
          <w:sz w:val="30"/>
          <w:szCs w:val="30"/>
        </w:rPr>
        <w:t>ой</w:t>
      </w:r>
      <w:r w:rsidRPr="00C87170">
        <w:rPr>
          <w:color w:val="000000"/>
          <w:spacing w:val="-6"/>
          <w:sz w:val="30"/>
          <w:szCs w:val="30"/>
        </w:rPr>
        <w:t xml:space="preserve"> риску смертельного и тяжелого </w:t>
      </w:r>
      <w:proofErr w:type="spellStart"/>
      <w:r w:rsidRPr="00C87170">
        <w:rPr>
          <w:color w:val="000000"/>
          <w:spacing w:val="-6"/>
          <w:sz w:val="30"/>
          <w:szCs w:val="30"/>
        </w:rPr>
        <w:t>травмирования</w:t>
      </w:r>
      <w:proofErr w:type="spellEnd"/>
      <w:r w:rsidR="000038C4" w:rsidRPr="00C87170">
        <w:rPr>
          <w:color w:val="000000"/>
          <w:spacing w:val="-6"/>
          <w:sz w:val="30"/>
          <w:szCs w:val="30"/>
        </w:rPr>
        <w:t xml:space="preserve"> в </w:t>
      </w:r>
      <w:r w:rsidRPr="00C87170">
        <w:rPr>
          <w:color w:val="000000"/>
          <w:spacing w:val="-6"/>
          <w:sz w:val="30"/>
          <w:szCs w:val="30"/>
        </w:rPr>
        <w:t>202</w:t>
      </w:r>
      <w:r w:rsidR="00AD587F" w:rsidRPr="00C87170">
        <w:rPr>
          <w:color w:val="000000"/>
          <w:spacing w:val="-6"/>
          <w:sz w:val="30"/>
          <w:szCs w:val="30"/>
        </w:rPr>
        <w:t>4</w:t>
      </w:r>
      <w:r w:rsidRPr="00C87170">
        <w:rPr>
          <w:color w:val="000000"/>
          <w:spacing w:val="-6"/>
          <w:sz w:val="30"/>
          <w:szCs w:val="30"/>
        </w:rPr>
        <w:t xml:space="preserve"> год</w:t>
      </w:r>
      <w:r w:rsidR="00AE0E04" w:rsidRPr="00C87170">
        <w:rPr>
          <w:color w:val="000000"/>
          <w:spacing w:val="-6"/>
          <w:sz w:val="30"/>
          <w:szCs w:val="30"/>
        </w:rPr>
        <w:t>у</w:t>
      </w:r>
      <w:r w:rsidRPr="00C87170">
        <w:rPr>
          <w:color w:val="000000"/>
          <w:spacing w:val="-6"/>
          <w:sz w:val="30"/>
          <w:szCs w:val="30"/>
        </w:rPr>
        <w:t xml:space="preserve"> оказал</w:t>
      </w:r>
      <w:r w:rsidR="00C87170" w:rsidRPr="00C87170">
        <w:rPr>
          <w:color w:val="000000"/>
          <w:spacing w:val="-6"/>
          <w:sz w:val="30"/>
          <w:szCs w:val="30"/>
        </w:rPr>
        <w:t>а</w:t>
      </w:r>
      <w:r w:rsidRPr="00C87170">
        <w:rPr>
          <w:color w:val="000000"/>
          <w:spacing w:val="-6"/>
          <w:sz w:val="30"/>
          <w:szCs w:val="30"/>
        </w:rPr>
        <w:t xml:space="preserve">сь </w:t>
      </w:r>
      <w:r w:rsidR="00C87170" w:rsidRPr="00C87170">
        <w:rPr>
          <w:color w:val="000000"/>
          <w:spacing w:val="-6"/>
          <w:sz w:val="30"/>
          <w:szCs w:val="30"/>
        </w:rPr>
        <w:t xml:space="preserve">профессия </w:t>
      </w:r>
      <w:r w:rsidR="00C87170" w:rsidRPr="00C87170">
        <w:rPr>
          <w:sz w:val="30"/>
          <w:szCs w:val="30"/>
        </w:rPr>
        <w:t>«каменщик»</w:t>
      </w:r>
      <w:r w:rsidR="000038C4" w:rsidRPr="00C87170">
        <w:rPr>
          <w:sz w:val="30"/>
          <w:szCs w:val="30"/>
        </w:rPr>
        <w:t xml:space="preserve"> (</w:t>
      </w:r>
      <w:r w:rsidR="00AD587F" w:rsidRPr="00C87170">
        <w:rPr>
          <w:sz w:val="30"/>
          <w:szCs w:val="30"/>
        </w:rPr>
        <w:t>2</w:t>
      </w:r>
      <w:r w:rsidR="000038C4" w:rsidRPr="00C87170">
        <w:rPr>
          <w:sz w:val="30"/>
          <w:szCs w:val="30"/>
        </w:rPr>
        <w:t xml:space="preserve"> человек</w:t>
      </w:r>
      <w:r w:rsidR="00AD587F" w:rsidRPr="00C87170">
        <w:rPr>
          <w:sz w:val="30"/>
          <w:szCs w:val="30"/>
        </w:rPr>
        <w:t>а</w:t>
      </w:r>
      <w:r w:rsidR="000038C4" w:rsidRPr="00AD587F">
        <w:rPr>
          <w:sz w:val="30"/>
          <w:szCs w:val="30"/>
        </w:rPr>
        <w:t xml:space="preserve"> погиб</w:t>
      </w:r>
      <w:r w:rsidR="00AD587F" w:rsidRPr="00AD587F">
        <w:rPr>
          <w:sz w:val="30"/>
          <w:szCs w:val="30"/>
        </w:rPr>
        <w:t>ло</w:t>
      </w:r>
      <w:r w:rsidR="00C87170">
        <w:rPr>
          <w:sz w:val="30"/>
          <w:szCs w:val="30"/>
        </w:rPr>
        <w:t>,</w:t>
      </w:r>
      <w:r w:rsidR="000038C4" w:rsidRPr="00AD587F">
        <w:rPr>
          <w:sz w:val="30"/>
          <w:szCs w:val="30"/>
        </w:rPr>
        <w:t xml:space="preserve"> </w:t>
      </w:r>
      <w:r w:rsidR="00C87170">
        <w:rPr>
          <w:sz w:val="30"/>
          <w:szCs w:val="30"/>
        </w:rPr>
        <w:br/>
      </w:r>
      <w:r w:rsidR="00AD587F" w:rsidRPr="00AD587F">
        <w:rPr>
          <w:sz w:val="30"/>
          <w:szCs w:val="30"/>
        </w:rPr>
        <w:t>3</w:t>
      </w:r>
      <w:r w:rsidR="000038C4" w:rsidRPr="00AD587F">
        <w:rPr>
          <w:sz w:val="30"/>
          <w:szCs w:val="30"/>
        </w:rPr>
        <w:t xml:space="preserve"> человека получили тяжелые производственные</w:t>
      </w:r>
      <w:r w:rsidR="00C87170">
        <w:rPr>
          <w:sz w:val="30"/>
          <w:szCs w:val="30"/>
        </w:rPr>
        <w:t xml:space="preserve"> травмы).</w:t>
      </w:r>
      <w:r w:rsidR="000038C4" w:rsidRPr="00AD587F">
        <w:rPr>
          <w:sz w:val="30"/>
          <w:szCs w:val="30"/>
        </w:rPr>
        <w:t xml:space="preserve"> </w:t>
      </w:r>
    </w:p>
    <w:p w:rsidR="00C87170" w:rsidRDefault="00C87170" w:rsidP="000038C4">
      <w:pPr>
        <w:ind w:firstLine="709"/>
        <w:rPr>
          <w:sz w:val="30"/>
          <w:szCs w:val="30"/>
        </w:rPr>
      </w:pPr>
      <w:r w:rsidRPr="00AD587F">
        <w:rPr>
          <w:rFonts w:eastAsia="Times New Roman"/>
          <w:sz w:val="30"/>
          <w:szCs w:val="30"/>
          <w:lang w:eastAsia="ru-RU"/>
        </w:rPr>
        <w:t xml:space="preserve">Продолжают иметь место случаи гибели и тяжелого </w:t>
      </w:r>
      <w:proofErr w:type="spellStart"/>
      <w:r w:rsidRPr="00AD587F">
        <w:rPr>
          <w:rFonts w:eastAsia="Times New Roman"/>
          <w:sz w:val="30"/>
          <w:szCs w:val="30"/>
          <w:lang w:eastAsia="ru-RU"/>
        </w:rPr>
        <w:t>травмирования</w:t>
      </w:r>
      <w:proofErr w:type="spellEnd"/>
      <w:r w:rsidRPr="00AD587F">
        <w:rPr>
          <w:rFonts w:eastAsia="Times New Roman"/>
          <w:sz w:val="30"/>
          <w:szCs w:val="30"/>
          <w:lang w:eastAsia="ru-RU"/>
        </w:rPr>
        <w:t xml:space="preserve"> граждан, привлекаемых к работам на основании заключенных с ними гражданско-правовых договоров (1 человек погиб, 3 человека получили тяжелые производственные травмы).</w:t>
      </w:r>
    </w:p>
    <w:p w:rsidR="00DE04BB" w:rsidRDefault="00DC6B95" w:rsidP="00DC6B95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DE04BB">
        <w:rPr>
          <w:rFonts w:eastAsia="Times New Roman"/>
          <w:spacing w:val="-6"/>
          <w:sz w:val="30"/>
          <w:szCs w:val="30"/>
          <w:lang w:eastAsia="ru-RU"/>
        </w:rPr>
        <w:t>В состоянии алкогольного опьянения находил</w:t>
      </w:r>
      <w:r w:rsidR="0041464F" w:rsidRPr="00DE04BB">
        <w:rPr>
          <w:rFonts w:eastAsia="Times New Roman"/>
          <w:spacing w:val="-6"/>
          <w:sz w:val="30"/>
          <w:szCs w:val="30"/>
          <w:lang w:eastAsia="ru-RU"/>
        </w:rPr>
        <w:t>ись</w:t>
      </w:r>
      <w:r w:rsidR="006D08BA" w:rsidRPr="00DE04BB">
        <w:rPr>
          <w:rFonts w:eastAsia="Times New Roman"/>
          <w:spacing w:val="-6"/>
          <w:sz w:val="30"/>
          <w:szCs w:val="30"/>
          <w:lang w:eastAsia="ru-RU"/>
        </w:rPr>
        <w:t xml:space="preserve"> 2</w:t>
      </w:r>
      <w:r w:rsidRPr="00DE04BB">
        <w:rPr>
          <w:rFonts w:eastAsia="Times New Roman"/>
          <w:spacing w:val="-6"/>
          <w:sz w:val="30"/>
          <w:szCs w:val="30"/>
          <w:lang w:eastAsia="ru-RU"/>
        </w:rPr>
        <w:t xml:space="preserve"> из </w:t>
      </w:r>
      <w:r w:rsidR="00C87170" w:rsidRPr="00DE04BB">
        <w:rPr>
          <w:rFonts w:eastAsia="Times New Roman"/>
          <w:spacing w:val="-6"/>
          <w:sz w:val="30"/>
          <w:szCs w:val="30"/>
          <w:lang w:eastAsia="ru-RU"/>
        </w:rPr>
        <w:t>6</w:t>
      </w:r>
      <w:r w:rsidRPr="00DE04BB">
        <w:rPr>
          <w:rFonts w:eastAsia="Times New Roman"/>
          <w:spacing w:val="-6"/>
          <w:sz w:val="30"/>
          <w:szCs w:val="30"/>
          <w:lang w:eastAsia="ru-RU"/>
        </w:rPr>
        <w:t xml:space="preserve"> работников, погибших в результате несчастных случаев</w:t>
      </w:r>
      <w:r w:rsidR="006D08BA" w:rsidRPr="00DE04BB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DE04BB">
        <w:rPr>
          <w:rFonts w:eastAsia="Times New Roman"/>
          <w:spacing w:val="-6"/>
          <w:sz w:val="30"/>
          <w:szCs w:val="30"/>
          <w:lang w:eastAsia="ru-RU"/>
        </w:rPr>
        <w:t>на производстве</w:t>
      </w:r>
      <w:r w:rsidR="006D08BA" w:rsidRPr="00DE04BB">
        <w:rPr>
          <w:rFonts w:eastAsia="Times New Roman"/>
          <w:spacing w:val="-6"/>
          <w:sz w:val="30"/>
          <w:szCs w:val="30"/>
          <w:lang w:eastAsia="ru-RU"/>
        </w:rPr>
        <w:t xml:space="preserve"> (плотник</w:t>
      </w:r>
      <w:r w:rsidR="006D08BA" w:rsidRPr="00DE04BB">
        <w:rPr>
          <w:rFonts w:eastAsia="Times New Roman"/>
          <w:spacing w:val="-6"/>
          <w:sz w:val="30"/>
          <w:szCs w:val="30"/>
          <w:lang w:eastAsia="ru-RU"/>
        </w:rPr>
        <w:br/>
        <w:t xml:space="preserve">ДУП «ПМК № </w:t>
      </w:r>
      <w:r w:rsidR="00C87170" w:rsidRPr="00DE04BB">
        <w:rPr>
          <w:rFonts w:eastAsia="Times New Roman"/>
          <w:spacing w:val="-6"/>
          <w:sz w:val="30"/>
          <w:szCs w:val="30"/>
          <w:lang w:eastAsia="ru-RU"/>
        </w:rPr>
        <w:t>182</w:t>
      </w:r>
      <w:r w:rsidR="006D08BA" w:rsidRPr="00DE04BB">
        <w:rPr>
          <w:rFonts w:eastAsia="Times New Roman"/>
          <w:spacing w:val="-6"/>
          <w:sz w:val="30"/>
          <w:szCs w:val="30"/>
          <w:lang w:eastAsia="ru-RU"/>
        </w:rPr>
        <w:t xml:space="preserve">» УП «Минскоблсельстрой» </w:t>
      </w:r>
      <w:r w:rsidR="00C87170" w:rsidRPr="00DE04BB">
        <w:rPr>
          <w:rFonts w:eastAsia="Times New Roman"/>
          <w:spacing w:val="-6"/>
          <w:sz w:val="30"/>
          <w:szCs w:val="30"/>
          <w:lang w:eastAsia="ru-RU"/>
        </w:rPr>
        <w:t>(Березинский</w:t>
      </w:r>
      <w:r w:rsidR="006D08BA" w:rsidRPr="00DE04BB">
        <w:rPr>
          <w:rFonts w:eastAsia="Times New Roman"/>
          <w:spacing w:val="-6"/>
          <w:sz w:val="30"/>
          <w:szCs w:val="30"/>
          <w:lang w:eastAsia="ru-RU"/>
        </w:rPr>
        <w:t xml:space="preserve"> район</w:t>
      </w:r>
      <w:r w:rsidR="00C87170" w:rsidRPr="00DE04BB">
        <w:rPr>
          <w:rFonts w:eastAsia="Times New Roman"/>
          <w:spacing w:val="-6"/>
          <w:sz w:val="30"/>
          <w:szCs w:val="30"/>
          <w:lang w:eastAsia="ru-RU"/>
        </w:rPr>
        <w:t>)</w:t>
      </w:r>
      <w:r w:rsidR="006D08BA" w:rsidRPr="00DE04BB">
        <w:rPr>
          <w:rFonts w:eastAsia="Times New Roman"/>
          <w:spacing w:val="-6"/>
          <w:sz w:val="30"/>
          <w:szCs w:val="30"/>
          <w:lang w:eastAsia="ru-RU"/>
        </w:rPr>
        <w:t xml:space="preserve"> –</w:t>
      </w:r>
      <w:r w:rsidR="00DE04BB">
        <w:rPr>
          <w:rFonts w:eastAsia="Times New Roman"/>
          <w:spacing w:val="-6"/>
          <w:sz w:val="30"/>
          <w:szCs w:val="30"/>
          <w:lang w:eastAsia="ru-RU"/>
        </w:rPr>
        <w:br/>
      </w:r>
      <w:r w:rsidR="006D08BA" w:rsidRPr="00DE04BB">
        <w:rPr>
          <w:rFonts w:eastAsia="Times New Roman"/>
          <w:spacing w:val="-6"/>
          <w:sz w:val="30"/>
          <w:szCs w:val="30"/>
          <w:lang w:eastAsia="ru-RU"/>
        </w:rPr>
        <w:t>1,</w:t>
      </w:r>
      <w:r w:rsidR="00C87170" w:rsidRPr="00DE04BB">
        <w:rPr>
          <w:rFonts w:eastAsia="Times New Roman"/>
          <w:spacing w:val="-6"/>
          <w:sz w:val="30"/>
          <w:szCs w:val="30"/>
          <w:lang w:eastAsia="ru-RU"/>
        </w:rPr>
        <w:t>9</w:t>
      </w:r>
      <w:r w:rsidR="006D08BA" w:rsidRPr="00DE04BB">
        <w:rPr>
          <w:rFonts w:eastAsia="Times New Roman"/>
          <w:spacing w:val="-6"/>
          <w:sz w:val="30"/>
          <w:szCs w:val="30"/>
          <w:lang w:eastAsia="ru-RU"/>
        </w:rPr>
        <w:t xml:space="preserve"> промилле</w:t>
      </w:r>
      <w:r w:rsidRPr="00DE04BB"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 w:rsidR="00DE04BB" w:rsidRPr="00DE04BB">
        <w:rPr>
          <w:rFonts w:eastAsia="Times New Roman"/>
          <w:spacing w:val="-6"/>
          <w:sz w:val="30"/>
          <w:szCs w:val="30"/>
          <w:lang w:eastAsia="ru-RU"/>
        </w:rPr>
        <w:t xml:space="preserve">гражданин, работающий по договору оказания услуг </w:t>
      </w:r>
      <w:r w:rsidR="00DE04BB">
        <w:rPr>
          <w:rFonts w:eastAsia="Times New Roman"/>
          <w:spacing w:val="-6"/>
          <w:sz w:val="30"/>
          <w:szCs w:val="30"/>
          <w:lang w:eastAsia="ru-RU"/>
        </w:rPr>
        <w:br/>
      </w:r>
      <w:r w:rsidR="00DE04BB" w:rsidRPr="00DE04BB">
        <w:rPr>
          <w:rFonts w:eastAsia="Times New Roman"/>
          <w:spacing w:val="-6"/>
          <w:sz w:val="30"/>
          <w:szCs w:val="30"/>
          <w:lang w:eastAsia="ru-RU"/>
        </w:rPr>
        <w:t xml:space="preserve">в </w:t>
      </w:r>
      <w:r w:rsidR="000A42CC" w:rsidRPr="00DE04BB">
        <w:rPr>
          <w:rFonts w:eastAsia="Times New Roman"/>
          <w:spacing w:val="-6"/>
          <w:sz w:val="30"/>
          <w:szCs w:val="30"/>
          <w:lang w:eastAsia="ru-RU"/>
        </w:rPr>
        <w:t>ООО «</w:t>
      </w:r>
      <w:proofErr w:type="spellStart"/>
      <w:r w:rsidR="000A42CC" w:rsidRPr="00DE04BB">
        <w:rPr>
          <w:rFonts w:eastAsia="Times New Roman"/>
          <w:spacing w:val="-6"/>
          <w:sz w:val="30"/>
          <w:szCs w:val="30"/>
          <w:lang w:eastAsia="ru-RU"/>
        </w:rPr>
        <w:t>Стройтрансмеханизация</w:t>
      </w:r>
      <w:proofErr w:type="spellEnd"/>
      <w:r w:rsidR="000A42CC" w:rsidRPr="00DE04BB">
        <w:rPr>
          <w:rFonts w:eastAsia="Times New Roman"/>
          <w:spacing w:val="-6"/>
          <w:sz w:val="30"/>
          <w:szCs w:val="30"/>
          <w:lang w:eastAsia="ru-RU"/>
        </w:rPr>
        <w:t xml:space="preserve">» </w:t>
      </w:r>
      <w:r w:rsidR="00DE04BB" w:rsidRPr="00DE04BB">
        <w:rPr>
          <w:rFonts w:eastAsia="Times New Roman"/>
          <w:spacing w:val="-6"/>
          <w:sz w:val="30"/>
          <w:szCs w:val="30"/>
          <w:lang w:eastAsia="ru-RU"/>
        </w:rPr>
        <w:t>(Борисовский</w:t>
      </w:r>
      <w:r w:rsidR="006D08BA" w:rsidRPr="00DE04BB">
        <w:rPr>
          <w:rFonts w:eastAsia="Times New Roman"/>
          <w:spacing w:val="-6"/>
          <w:sz w:val="30"/>
          <w:szCs w:val="30"/>
          <w:lang w:eastAsia="ru-RU"/>
        </w:rPr>
        <w:t xml:space="preserve"> район</w:t>
      </w:r>
      <w:r w:rsidR="00DE04BB" w:rsidRPr="00DE04BB">
        <w:rPr>
          <w:rFonts w:eastAsia="Times New Roman"/>
          <w:spacing w:val="-6"/>
          <w:sz w:val="30"/>
          <w:szCs w:val="30"/>
          <w:lang w:eastAsia="ru-RU"/>
        </w:rPr>
        <w:t>)</w:t>
      </w:r>
      <w:r w:rsidR="006D08BA" w:rsidRPr="00DE04BB">
        <w:rPr>
          <w:rFonts w:eastAsia="Times New Roman"/>
          <w:spacing w:val="-6"/>
          <w:sz w:val="30"/>
          <w:szCs w:val="30"/>
          <w:lang w:eastAsia="ru-RU"/>
        </w:rPr>
        <w:t xml:space="preserve"> – </w:t>
      </w:r>
      <w:r w:rsidR="00C87170" w:rsidRPr="00DE04BB">
        <w:rPr>
          <w:rFonts w:eastAsia="Times New Roman"/>
          <w:spacing w:val="-6"/>
          <w:sz w:val="30"/>
          <w:szCs w:val="30"/>
          <w:lang w:eastAsia="ru-RU"/>
        </w:rPr>
        <w:t>2</w:t>
      </w:r>
      <w:r w:rsidR="006D08BA" w:rsidRPr="00DE04BB">
        <w:rPr>
          <w:rFonts w:eastAsia="Times New Roman"/>
          <w:spacing w:val="-6"/>
          <w:sz w:val="30"/>
          <w:szCs w:val="30"/>
          <w:lang w:eastAsia="ru-RU"/>
        </w:rPr>
        <w:t>,</w:t>
      </w:r>
      <w:r w:rsidR="00C87170" w:rsidRPr="00DE04BB">
        <w:rPr>
          <w:rFonts w:eastAsia="Times New Roman"/>
          <w:spacing w:val="-6"/>
          <w:sz w:val="30"/>
          <w:szCs w:val="30"/>
          <w:lang w:eastAsia="ru-RU"/>
        </w:rPr>
        <w:t>51</w:t>
      </w:r>
      <w:r w:rsidR="006D08BA" w:rsidRPr="00DE04BB">
        <w:rPr>
          <w:rFonts w:eastAsia="Times New Roman"/>
          <w:spacing w:val="-6"/>
          <w:sz w:val="30"/>
          <w:szCs w:val="30"/>
          <w:lang w:eastAsia="ru-RU"/>
        </w:rPr>
        <w:t xml:space="preserve"> промилле)</w:t>
      </w:r>
      <w:r w:rsidR="00DE04BB" w:rsidRPr="00DE04BB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DC6B95" w:rsidRPr="00F10088" w:rsidRDefault="00DC6B95" w:rsidP="00DC6B95">
      <w:pPr>
        <w:ind w:firstLine="709"/>
        <w:rPr>
          <w:rFonts w:eastAsia="Times New Roman"/>
          <w:sz w:val="16"/>
          <w:szCs w:val="16"/>
          <w:highlight w:val="yellow"/>
          <w:lang w:eastAsia="ru-RU"/>
        </w:rPr>
      </w:pPr>
    </w:p>
    <w:p w:rsidR="003361A8" w:rsidRPr="00DE04BB" w:rsidRDefault="00DC6B95" w:rsidP="003361A8">
      <w:pPr>
        <w:spacing w:line="280" w:lineRule="exact"/>
        <w:ind w:firstLine="709"/>
        <w:rPr>
          <w:rFonts w:eastAsia="Times New Roman"/>
          <w:i/>
          <w:spacing w:val="-6"/>
          <w:sz w:val="30"/>
          <w:szCs w:val="30"/>
          <w:lang w:eastAsia="ru-RU"/>
        </w:rPr>
      </w:pPr>
      <w:proofErr w:type="spellStart"/>
      <w:r w:rsidRPr="00DE04BB">
        <w:rPr>
          <w:rFonts w:eastAsia="Times New Roman"/>
          <w:i/>
          <w:spacing w:val="-6"/>
          <w:sz w:val="30"/>
          <w:szCs w:val="30"/>
          <w:lang w:eastAsia="ru-RU"/>
        </w:rPr>
        <w:t>Справочно</w:t>
      </w:r>
      <w:proofErr w:type="spellEnd"/>
      <w:r w:rsidRPr="00DE04BB">
        <w:rPr>
          <w:rFonts w:eastAsia="Times New Roman"/>
          <w:i/>
          <w:spacing w:val="-6"/>
          <w:sz w:val="30"/>
          <w:szCs w:val="30"/>
          <w:lang w:eastAsia="ru-RU"/>
        </w:rPr>
        <w:t xml:space="preserve">. </w:t>
      </w:r>
      <w:proofErr w:type="gramStart"/>
      <w:r w:rsidRPr="00DE04BB">
        <w:rPr>
          <w:rFonts w:eastAsia="Times New Roman"/>
          <w:i/>
          <w:spacing w:val="-6"/>
          <w:sz w:val="30"/>
          <w:szCs w:val="30"/>
          <w:lang w:eastAsia="ru-RU"/>
        </w:rPr>
        <w:t>В 202</w:t>
      </w:r>
      <w:r w:rsidR="000A42CC" w:rsidRPr="00DE04BB">
        <w:rPr>
          <w:rFonts w:eastAsia="Times New Roman"/>
          <w:i/>
          <w:spacing w:val="-6"/>
          <w:sz w:val="30"/>
          <w:szCs w:val="30"/>
          <w:lang w:eastAsia="ru-RU"/>
        </w:rPr>
        <w:t>3</w:t>
      </w:r>
      <w:r w:rsidRPr="00DE04BB">
        <w:rPr>
          <w:rFonts w:eastAsia="Times New Roman"/>
          <w:i/>
          <w:spacing w:val="-6"/>
          <w:sz w:val="30"/>
          <w:szCs w:val="30"/>
          <w:lang w:eastAsia="ru-RU"/>
        </w:rPr>
        <w:t xml:space="preserve"> г</w:t>
      </w:r>
      <w:r w:rsidR="001739FC" w:rsidRPr="00DE04BB">
        <w:rPr>
          <w:rFonts w:eastAsia="Times New Roman"/>
          <w:i/>
          <w:spacing w:val="-6"/>
          <w:sz w:val="30"/>
          <w:szCs w:val="30"/>
          <w:lang w:eastAsia="ru-RU"/>
        </w:rPr>
        <w:t xml:space="preserve">оду </w:t>
      </w:r>
      <w:r w:rsidR="003361A8" w:rsidRPr="00DE04BB">
        <w:rPr>
          <w:rFonts w:eastAsia="Times New Roman"/>
          <w:i/>
          <w:spacing w:val="-6"/>
          <w:sz w:val="30"/>
          <w:szCs w:val="30"/>
          <w:lang w:eastAsia="ru-RU"/>
        </w:rPr>
        <w:t xml:space="preserve">в состоянии алкогольного опьянения находились 2 из 7 работников, погибших в результате несчастных случаев </w:t>
      </w:r>
      <w:r w:rsidR="003361A8" w:rsidRPr="00DE04BB">
        <w:rPr>
          <w:rFonts w:eastAsia="Times New Roman"/>
          <w:i/>
          <w:spacing w:val="-6"/>
          <w:sz w:val="30"/>
          <w:szCs w:val="30"/>
          <w:lang w:eastAsia="ru-RU"/>
        </w:rPr>
        <w:br/>
        <w:t>на производстве (плотник ДУП «ПМК № 201» УП «Минскоблсельстрой» (</w:t>
      </w:r>
      <w:proofErr w:type="spellStart"/>
      <w:r w:rsidR="003361A8" w:rsidRPr="00DE04BB">
        <w:rPr>
          <w:rFonts w:eastAsia="Times New Roman"/>
          <w:i/>
          <w:spacing w:val="-6"/>
          <w:sz w:val="30"/>
          <w:szCs w:val="30"/>
          <w:lang w:eastAsia="ru-RU"/>
        </w:rPr>
        <w:t>Любанский</w:t>
      </w:r>
      <w:proofErr w:type="spellEnd"/>
      <w:r w:rsidR="003361A8" w:rsidRPr="00DE04BB">
        <w:rPr>
          <w:rFonts w:eastAsia="Times New Roman"/>
          <w:i/>
          <w:spacing w:val="-6"/>
          <w:sz w:val="30"/>
          <w:szCs w:val="30"/>
          <w:lang w:eastAsia="ru-RU"/>
        </w:rPr>
        <w:t xml:space="preserve"> район) – 1,1 промилле, монтажник строительных конструкций ООО «</w:t>
      </w:r>
      <w:proofErr w:type="spellStart"/>
      <w:r w:rsidR="003361A8" w:rsidRPr="00DE04BB">
        <w:rPr>
          <w:rFonts w:eastAsia="Times New Roman"/>
          <w:i/>
          <w:spacing w:val="-6"/>
          <w:sz w:val="30"/>
          <w:szCs w:val="30"/>
          <w:lang w:eastAsia="ru-RU"/>
        </w:rPr>
        <w:t>АКТрейд</w:t>
      </w:r>
      <w:proofErr w:type="spellEnd"/>
      <w:r w:rsidR="003361A8" w:rsidRPr="00DE04BB">
        <w:rPr>
          <w:rFonts w:eastAsia="Times New Roman"/>
          <w:i/>
          <w:spacing w:val="-6"/>
          <w:sz w:val="30"/>
          <w:szCs w:val="30"/>
          <w:lang w:eastAsia="ru-RU"/>
        </w:rPr>
        <w:t xml:space="preserve"> Техно» (Солигорский район) – 1,67 промилле), а также </w:t>
      </w:r>
      <w:r w:rsidR="003361A8" w:rsidRPr="00DE04BB">
        <w:rPr>
          <w:rFonts w:eastAsia="Times New Roman"/>
          <w:i/>
          <w:spacing w:val="-6"/>
          <w:sz w:val="30"/>
          <w:szCs w:val="30"/>
          <w:lang w:eastAsia="ru-RU"/>
        </w:rPr>
        <w:br/>
        <w:t xml:space="preserve">2 из 28 работников, получивших тяжелые производственные травмы (каменщик ДУП «ПМК № 182» УП «Минскоблсельстрой» (Березинский </w:t>
      </w:r>
      <w:r w:rsidR="003361A8" w:rsidRPr="00DE04BB">
        <w:rPr>
          <w:rFonts w:eastAsia="Times New Roman"/>
          <w:i/>
          <w:spacing w:val="-8"/>
          <w:sz w:val="30"/>
          <w:szCs w:val="30"/>
          <w:lang w:eastAsia="ru-RU"/>
        </w:rPr>
        <w:t>район) – 2,0 промилле, плотник</w:t>
      </w:r>
      <w:proofErr w:type="gramEnd"/>
      <w:r w:rsidR="003361A8" w:rsidRPr="00DE04BB">
        <w:rPr>
          <w:rFonts w:eastAsia="Times New Roman"/>
          <w:i/>
          <w:spacing w:val="-8"/>
          <w:sz w:val="30"/>
          <w:szCs w:val="30"/>
          <w:lang w:eastAsia="ru-RU"/>
        </w:rPr>
        <w:t xml:space="preserve"> </w:t>
      </w:r>
      <w:proofErr w:type="gramStart"/>
      <w:r w:rsidR="003361A8" w:rsidRPr="00DE04BB">
        <w:rPr>
          <w:rFonts w:eastAsia="Times New Roman"/>
          <w:i/>
          <w:spacing w:val="-8"/>
          <w:sz w:val="30"/>
          <w:szCs w:val="30"/>
          <w:lang w:eastAsia="ru-RU"/>
        </w:rPr>
        <w:t>ДУП «ПМК № 201» УП «Минскоблсельстрой»</w:t>
      </w:r>
      <w:r w:rsidR="003361A8" w:rsidRPr="00DE04BB">
        <w:rPr>
          <w:rFonts w:eastAsia="Times New Roman"/>
          <w:i/>
          <w:spacing w:val="-6"/>
          <w:sz w:val="30"/>
          <w:szCs w:val="30"/>
          <w:lang w:eastAsia="ru-RU"/>
        </w:rPr>
        <w:t xml:space="preserve"> (</w:t>
      </w:r>
      <w:proofErr w:type="spellStart"/>
      <w:r w:rsidR="003361A8" w:rsidRPr="00DE04BB">
        <w:rPr>
          <w:rFonts w:eastAsia="Times New Roman"/>
          <w:i/>
          <w:spacing w:val="-6"/>
          <w:sz w:val="30"/>
          <w:szCs w:val="30"/>
          <w:lang w:eastAsia="ru-RU"/>
        </w:rPr>
        <w:t>Любанский</w:t>
      </w:r>
      <w:proofErr w:type="spellEnd"/>
      <w:r w:rsidR="003361A8" w:rsidRPr="00DE04BB">
        <w:rPr>
          <w:rFonts w:eastAsia="Times New Roman"/>
          <w:i/>
          <w:spacing w:val="-6"/>
          <w:sz w:val="30"/>
          <w:szCs w:val="30"/>
          <w:lang w:eastAsia="ru-RU"/>
        </w:rPr>
        <w:t xml:space="preserve"> район) – 0,4 промилле).</w:t>
      </w:r>
      <w:proofErr w:type="gramEnd"/>
    </w:p>
    <w:p w:rsidR="00B3688B" w:rsidRPr="00DE04BB" w:rsidRDefault="00B3688B" w:rsidP="00416534">
      <w:pPr>
        <w:ind w:firstLine="709"/>
        <w:rPr>
          <w:rFonts w:eastAsia="Calibri"/>
          <w:spacing w:val="-4"/>
          <w:sz w:val="16"/>
          <w:szCs w:val="16"/>
        </w:rPr>
      </w:pPr>
    </w:p>
    <w:p w:rsidR="003E3A6A" w:rsidRPr="003361A8" w:rsidRDefault="00DC6B95" w:rsidP="00F06D8A">
      <w:pPr>
        <w:ind w:firstLine="709"/>
        <w:rPr>
          <w:rFonts w:eastAsia="Calibri"/>
          <w:spacing w:val="-4"/>
          <w:sz w:val="30"/>
          <w:szCs w:val="30"/>
        </w:rPr>
      </w:pPr>
      <w:r w:rsidRPr="003361A8">
        <w:rPr>
          <w:rFonts w:eastAsia="Calibri"/>
          <w:spacing w:val="-4"/>
          <w:sz w:val="30"/>
          <w:szCs w:val="30"/>
        </w:rPr>
        <w:t xml:space="preserve">Средний возраст погибших составил </w:t>
      </w:r>
      <w:r w:rsidR="00606AC4" w:rsidRPr="003361A8">
        <w:rPr>
          <w:rFonts w:eastAsia="Calibri"/>
          <w:spacing w:val="-4"/>
          <w:sz w:val="30"/>
          <w:szCs w:val="30"/>
        </w:rPr>
        <w:t>4</w:t>
      </w:r>
      <w:r w:rsidR="003361A8" w:rsidRPr="003361A8">
        <w:rPr>
          <w:rFonts w:eastAsia="Calibri"/>
          <w:spacing w:val="-4"/>
          <w:sz w:val="30"/>
          <w:szCs w:val="30"/>
        </w:rPr>
        <w:t>7</w:t>
      </w:r>
      <w:r w:rsidRPr="003361A8">
        <w:rPr>
          <w:rFonts w:eastAsia="Calibri"/>
          <w:spacing w:val="-4"/>
          <w:sz w:val="30"/>
          <w:szCs w:val="30"/>
        </w:rPr>
        <w:t xml:space="preserve"> </w:t>
      </w:r>
      <w:r w:rsidR="003361A8" w:rsidRPr="003361A8">
        <w:rPr>
          <w:rFonts w:eastAsia="Calibri"/>
          <w:spacing w:val="-4"/>
          <w:sz w:val="30"/>
          <w:szCs w:val="30"/>
        </w:rPr>
        <w:t>лет</w:t>
      </w:r>
      <w:r w:rsidRPr="003361A8">
        <w:rPr>
          <w:rFonts w:eastAsia="Calibri"/>
          <w:spacing w:val="-4"/>
          <w:sz w:val="30"/>
          <w:szCs w:val="30"/>
        </w:rPr>
        <w:t>, потерпевших, получивших тяжелые производственные травмы – 4</w:t>
      </w:r>
      <w:r w:rsidR="003361A8" w:rsidRPr="003361A8">
        <w:rPr>
          <w:rFonts w:eastAsia="Calibri"/>
          <w:spacing w:val="-4"/>
          <w:sz w:val="30"/>
          <w:szCs w:val="30"/>
        </w:rPr>
        <w:t>4 год</w:t>
      </w:r>
      <w:r w:rsidR="003361A8">
        <w:rPr>
          <w:rFonts w:eastAsia="Calibri"/>
          <w:spacing w:val="-4"/>
          <w:sz w:val="30"/>
          <w:szCs w:val="30"/>
        </w:rPr>
        <w:t>а</w:t>
      </w:r>
      <w:r w:rsidR="003361A8" w:rsidRPr="003361A8">
        <w:rPr>
          <w:rFonts w:eastAsia="Calibri"/>
          <w:spacing w:val="-4"/>
          <w:sz w:val="30"/>
          <w:szCs w:val="30"/>
        </w:rPr>
        <w:t>.</w:t>
      </w:r>
    </w:p>
    <w:p w:rsidR="003E3A6A" w:rsidRPr="0054023D" w:rsidRDefault="00DC6B95" w:rsidP="00DC6B95">
      <w:pPr>
        <w:ind w:firstLine="709"/>
        <w:rPr>
          <w:rFonts w:eastAsia="Calibri"/>
          <w:sz w:val="30"/>
          <w:szCs w:val="30"/>
        </w:rPr>
      </w:pPr>
      <w:r w:rsidRPr="0054023D">
        <w:rPr>
          <w:rFonts w:eastAsia="Calibri"/>
          <w:sz w:val="30"/>
          <w:szCs w:val="30"/>
        </w:rPr>
        <w:t xml:space="preserve">Наибольший удельный вес среди смертельно травмированных </w:t>
      </w:r>
      <w:r w:rsidR="0054023D" w:rsidRPr="0054023D">
        <w:rPr>
          <w:rFonts w:eastAsia="Calibri"/>
          <w:sz w:val="30"/>
          <w:szCs w:val="30"/>
        </w:rPr>
        <w:br/>
        <w:t xml:space="preserve">и потерпевших, получивших тяжелые производственные травмы, </w:t>
      </w:r>
      <w:r w:rsidRPr="0054023D">
        <w:rPr>
          <w:rFonts w:eastAsia="Calibri"/>
          <w:sz w:val="30"/>
          <w:szCs w:val="30"/>
        </w:rPr>
        <w:t>занимают работники в возрастн</w:t>
      </w:r>
      <w:r w:rsidR="0054023D" w:rsidRPr="0054023D">
        <w:rPr>
          <w:rFonts w:eastAsia="Calibri"/>
          <w:sz w:val="30"/>
          <w:szCs w:val="30"/>
        </w:rPr>
        <w:t>ом</w:t>
      </w:r>
      <w:r w:rsidRPr="0054023D">
        <w:rPr>
          <w:rFonts w:eastAsia="Calibri"/>
          <w:sz w:val="30"/>
          <w:szCs w:val="30"/>
        </w:rPr>
        <w:t xml:space="preserve"> диапазон</w:t>
      </w:r>
      <w:r w:rsidR="0054023D" w:rsidRPr="0054023D">
        <w:rPr>
          <w:rFonts w:eastAsia="Calibri"/>
          <w:sz w:val="30"/>
          <w:szCs w:val="30"/>
        </w:rPr>
        <w:t>е</w:t>
      </w:r>
      <w:r w:rsidR="001711EF" w:rsidRPr="0054023D">
        <w:rPr>
          <w:rFonts w:eastAsia="Calibri"/>
          <w:sz w:val="30"/>
          <w:szCs w:val="30"/>
        </w:rPr>
        <w:t xml:space="preserve"> «от </w:t>
      </w:r>
      <w:r w:rsidR="0054023D" w:rsidRPr="0054023D">
        <w:rPr>
          <w:rFonts w:eastAsia="Calibri"/>
          <w:sz w:val="30"/>
          <w:szCs w:val="30"/>
        </w:rPr>
        <w:t>40</w:t>
      </w:r>
      <w:r w:rsidR="001711EF" w:rsidRPr="0054023D">
        <w:rPr>
          <w:rFonts w:eastAsia="Calibri"/>
          <w:sz w:val="30"/>
          <w:szCs w:val="30"/>
        </w:rPr>
        <w:t xml:space="preserve"> до</w:t>
      </w:r>
      <w:r w:rsidR="005D0B77" w:rsidRPr="0054023D">
        <w:rPr>
          <w:rFonts w:eastAsia="Calibri"/>
          <w:sz w:val="30"/>
          <w:szCs w:val="30"/>
        </w:rPr>
        <w:t xml:space="preserve"> </w:t>
      </w:r>
      <w:r w:rsidR="0054023D" w:rsidRPr="0054023D">
        <w:rPr>
          <w:rFonts w:eastAsia="Calibri"/>
          <w:sz w:val="30"/>
          <w:szCs w:val="30"/>
        </w:rPr>
        <w:t>4</w:t>
      </w:r>
      <w:r w:rsidR="00BA2015" w:rsidRPr="0054023D">
        <w:rPr>
          <w:rFonts w:eastAsia="Calibri"/>
          <w:sz w:val="30"/>
          <w:szCs w:val="30"/>
        </w:rPr>
        <w:t>9</w:t>
      </w:r>
      <w:r w:rsidR="001711EF" w:rsidRPr="0054023D">
        <w:rPr>
          <w:rFonts w:eastAsia="Calibri"/>
          <w:sz w:val="30"/>
          <w:szCs w:val="30"/>
        </w:rPr>
        <w:t xml:space="preserve"> лет»</w:t>
      </w:r>
      <w:r w:rsidR="00630CE0" w:rsidRPr="0054023D">
        <w:rPr>
          <w:rFonts w:eastAsia="Calibri"/>
          <w:sz w:val="30"/>
          <w:szCs w:val="30"/>
        </w:rPr>
        <w:t>.</w:t>
      </w:r>
    </w:p>
    <w:p w:rsidR="004C520F" w:rsidRDefault="004C520F" w:rsidP="005415C6">
      <w:pPr>
        <w:rPr>
          <w:rFonts w:eastAsia="Calibri"/>
          <w:spacing w:val="-4"/>
          <w:sz w:val="16"/>
          <w:szCs w:val="16"/>
          <w:highlight w:val="yellow"/>
        </w:rPr>
      </w:pPr>
    </w:p>
    <w:p w:rsidR="004C520F" w:rsidRDefault="004C520F" w:rsidP="005415C6">
      <w:pPr>
        <w:rPr>
          <w:rFonts w:eastAsia="Calibri"/>
          <w:spacing w:val="-4"/>
          <w:sz w:val="16"/>
          <w:szCs w:val="16"/>
          <w:highlight w:val="yellow"/>
        </w:rPr>
      </w:pPr>
      <w:r>
        <w:rPr>
          <w:noProof/>
          <w:lang w:eastAsia="ru-RU"/>
        </w:rPr>
        <w:drawing>
          <wp:inline distT="0" distB="0" distL="0" distR="0" wp14:anchorId="13960906" wp14:editId="5388DECF">
            <wp:extent cx="6120130" cy="424852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C520F" w:rsidRDefault="004C520F" w:rsidP="005415C6">
      <w:pPr>
        <w:rPr>
          <w:rFonts w:eastAsia="Calibri"/>
          <w:spacing w:val="-4"/>
          <w:sz w:val="16"/>
          <w:szCs w:val="16"/>
          <w:highlight w:val="yellow"/>
        </w:rPr>
      </w:pPr>
    </w:p>
    <w:p w:rsidR="00F732E1" w:rsidRDefault="00376F5D" w:rsidP="00F732E1">
      <w:pPr>
        <w:ind w:firstLine="709"/>
        <w:rPr>
          <w:spacing w:val="-4"/>
          <w:sz w:val="30"/>
          <w:szCs w:val="30"/>
        </w:rPr>
      </w:pPr>
      <w:r w:rsidRPr="00DE04BB">
        <w:rPr>
          <w:spacing w:val="-4"/>
          <w:sz w:val="30"/>
          <w:szCs w:val="30"/>
        </w:rPr>
        <w:t>Основным из травмирующих факторов, приведших</w:t>
      </w:r>
      <w:r w:rsidR="004331D3" w:rsidRPr="00DE04BB">
        <w:rPr>
          <w:spacing w:val="-4"/>
          <w:sz w:val="30"/>
          <w:szCs w:val="30"/>
        </w:rPr>
        <w:t xml:space="preserve"> </w:t>
      </w:r>
      <w:r w:rsidRPr="00DE04BB">
        <w:rPr>
          <w:spacing w:val="-4"/>
          <w:sz w:val="30"/>
          <w:szCs w:val="30"/>
        </w:rPr>
        <w:t>к несчастным случаям на производстве с тяжелыми последствиями, явил</w:t>
      </w:r>
      <w:r w:rsidR="007E78AE">
        <w:rPr>
          <w:spacing w:val="-4"/>
          <w:sz w:val="30"/>
          <w:szCs w:val="30"/>
        </w:rPr>
        <w:t>о</w:t>
      </w:r>
      <w:r w:rsidRPr="00DE04BB">
        <w:rPr>
          <w:spacing w:val="-4"/>
          <w:sz w:val="30"/>
          <w:szCs w:val="30"/>
        </w:rPr>
        <w:t xml:space="preserve">сь </w:t>
      </w:r>
      <w:r w:rsidR="00F732E1" w:rsidRPr="00DE04BB">
        <w:rPr>
          <w:spacing w:val="-4"/>
          <w:sz w:val="30"/>
          <w:szCs w:val="30"/>
        </w:rPr>
        <w:t>падение потерпевшего с высоты,</w:t>
      </w:r>
      <w:r w:rsidR="00F732E1" w:rsidRPr="00DE04BB">
        <w:t xml:space="preserve"> </w:t>
      </w:r>
      <w:r w:rsidR="00F732E1" w:rsidRPr="00DE04BB">
        <w:rPr>
          <w:spacing w:val="-4"/>
          <w:sz w:val="30"/>
          <w:szCs w:val="30"/>
        </w:rPr>
        <w:t xml:space="preserve">в результате </w:t>
      </w:r>
      <w:r w:rsidR="007E78AE">
        <w:rPr>
          <w:spacing w:val="-4"/>
          <w:sz w:val="30"/>
          <w:szCs w:val="30"/>
        </w:rPr>
        <w:t>чег</w:t>
      </w:r>
      <w:r w:rsidR="00F732E1" w:rsidRPr="00DE04BB">
        <w:rPr>
          <w:spacing w:val="-4"/>
          <w:sz w:val="30"/>
          <w:szCs w:val="30"/>
        </w:rPr>
        <w:t>о погибл</w:t>
      </w:r>
      <w:r w:rsidR="007E78AE">
        <w:rPr>
          <w:spacing w:val="-4"/>
          <w:sz w:val="30"/>
          <w:szCs w:val="30"/>
        </w:rPr>
        <w:t>о</w:t>
      </w:r>
      <w:r w:rsidR="00F732E1" w:rsidRPr="00DE04BB">
        <w:rPr>
          <w:spacing w:val="-4"/>
          <w:sz w:val="30"/>
          <w:szCs w:val="30"/>
        </w:rPr>
        <w:t xml:space="preserve"> </w:t>
      </w:r>
      <w:r w:rsidR="004C520F" w:rsidRPr="00DE04BB">
        <w:rPr>
          <w:spacing w:val="-4"/>
          <w:sz w:val="30"/>
          <w:szCs w:val="30"/>
        </w:rPr>
        <w:t>5</w:t>
      </w:r>
      <w:r w:rsidR="00F732E1" w:rsidRPr="00DE04BB">
        <w:rPr>
          <w:spacing w:val="-4"/>
          <w:sz w:val="30"/>
          <w:szCs w:val="30"/>
        </w:rPr>
        <w:t xml:space="preserve"> человек, тяжелые производственные травмы получили </w:t>
      </w:r>
      <w:r w:rsidR="005144F1" w:rsidRPr="00DE04BB">
        <w:rPr>
          <w:spacing w:val="-4"/>
          <w:sz w:val="30"/>
          <w:szCs w:val="30"/>
        </w:rPr>
        <w:t>1</w:t>
      </w:r>
      <w:r w:rsidR="00DE04BB" w:rsidRPr="00DE04BB">
        <w:rPr>
          <w:spacing w:val="-4"/>
          <w:sz w:val="30"/>
          <w:szCs w:val="30"/>
        </w:rPr>
        <w:t>5 человек</w:t>
      </w:r>
      <w:r w:rsidR="00F732E1" w:rsidRPr="00DE04BB">
        <w:rPr>
          <w:spacing w:val="-4"/>
          <w:sz w:val="30"/>
          <w:szCs w:val="30"/>
        </w:rPr>
        <w:t>.</w:t>
      </w:r>
    </w:p>
    <w:p w:rsidR="00DE04BB" w:rsidRPr="00DE04BB" w:rsidRDefault="00DE04BB" w:rsidP="00F732E1">
      <w:pPr>
        <w:ind w:firstLine="709"/>
        <w:rPr>
          <w:spacing w:val="-4"/>
          <w:sz w:val="16"/>
          <w:szCs w:val="16"/>
        </w:rPr>
      </w:pPr>
    </w:p>
    <w:p w:rsidR="004B4737" w:rsidRDefault="008B6C02" w:rsidP="00F732E1">
      <w:pPr>
        <w:ind w:firstLine="709"/>
        <w:rPr>
          <w:spacing w:val="-4"/>
          <w:sz w:val="30"/>
          <w:szCs w:val="30"/>
          <w:highlight w:val="yellow"/>
        </w:rPr>
      </w:pPr>
      <w:r>
        <w:rPr>
          <w:noProof/>
          <w:lang w:eastAsia="ru-RU"/>
        </w:rPr>
        <w:drawing>
          <wp:inline distT="0" distB="0" distL="0" distR="0" wp14:anchorId="5662AA0B" wp14:editId="1B5DB136">
            <wp:extent cx="6116129" cy="4123426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4737" w:rsidRPr="009B002F" w:rsidRDefault="004B4737" w:rsidP="00F732E1">
      <w:pPr>
        <w:ind w:firstLine="709"/>
        <w:rPr>
          <w:spacing w:val="-4"/>
          <w:sz w:val="16"/>
          <w:szCs w:val="16"/>
          <w:highlight w:val="yellow"/>
        </w:rPr>
      </w:pPr>
    </w:p>
    <w:p w:rsidR="00C35158" w:rsidRDefault="00C35158" w:rsidP="00C35158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proofErr w:type="gramStart"/>
      <w:r w:rsidRPr="00233014">
        <w:rPr>
          <w:spacing w:val="-4"/>
          <w:sz w:val="30"/>
          <w:szCs w:val="30"/>
        </w:rPr>
        <w:t>Анализ причин несчастных случаев с тяжелыми последствиями, расследование которых завершено (</w:t>
      </w:r>
      <w:r>
        <w:rPr>
          <w:spacing w:val="-4"/>
          <w:sz w:val="30"/>
          <w:szCs w:val="30"/>
        </w:rPr>
        <w:t>6</w:t>
      </w:r>
      <w:r w:rsidRPr="00233014">
        <w:rPr>
          <w:spacing w:val="-4"/>
          <w:sz w:val="30"/>
          <w:szCs w:val="30"/>
        </w:rPr>
        <w:t xml:space="preserve"> несчастных случаев </w:t>
      </w:r>
      <w:r w:rsidRPr="001E11D1">
        <w:rPr>
          <w:spacing w:val="-6"/>
          <w:sz w:val="30"/>
          <w:szCs w:val="30"/>
        </w:rPr>
        <w:t xml:space="preserve">со смертельным исходом и </w:t>
      </w:r>
      <w:r>
        <w:rPr>
          <w:spacing w:val="-6"/>
          <w:sz w:val="30"/>
          <w:szCs w:val="30"/>
        </w:rPr>
        <w:t>16</w:t>
      </w:r>
      <w:r w:rsidRPr="001E11D1">
        <w:rPr>
          <w:spacing w:val="-6"/>
          <w:sz w:val="30"/>
          <w:szCs w:val="30"/>
        </w:rPr>
        <w:t xml:space="preserve"> несчастных случаев, в результате которых потерпевшие получили тяжелые производственные травмы), показывает, что удельный вес несчастных случаев, произошедших исключительно по вине нанимателя (работодателя) </w:t>
      </w:r>
      <w:r w:rsidR="001E0A38" w:rsidRPr="003C5D62">
        <w:rPr>
          <w:spacing w:val="-6"/>
          <w:sz w:val="30"/>
          <w:szCs w:val="30"/>
        </w:rPr>
        <w:t>составляет</w:t>
      </w:r>
      <w:r w:rsidR="001E0A38" w:rsidRPr="001E11D1">
        <w:rPr>
          <w:spacing w:val="-6"/>
          <w:sz w:val="30"/>
          <w:szCs w:val="30"/>
        </w:rPr>
        <w:t xml:space="preserve"> </w:t>
      </w:r>
      <w:r w:rsidR="003C5D62" w:rsidRPr="003C5D62">
        <w:rPr>
          <w:spacing w:val="-6"/>
          <w:sz w:val="30"/>
          <w:szCs w:val="30"/>
        </w:rPr>
        <w:t>59</w:t>
      </w:r>
      <w:r w:rsidRPr="003C5D62">
        <w:rPr>
          <w:spacing w:val="-6"/>
          <w:sz w:val="30"/>
          <w:szCs w:val="30"/>
        </w:rPr>
        <w:t>,</w:t>
      </w:r>
      <w:r w:rsidR="003C5D62" w:rsidRPr="003C5D62">
        <w:rPr>
          <w:spacing w:val="-6"/>
          <w:sz w:val="30"/>
          <w:szCs w:val="30"/>
        </w:rPr>
        <w:t>1</w:t>
      </w:r>
      <w:r w:rsidRPr="001E11D1">
        <w:rPr>
          <w:spacing w:val="-6"/>
          <w:sz w:val="30"/>
          <w:szCs w:val="30"/>
        </w:rPr>
        <w:t xml:space="preserve"> процента (</w:t>
      </w:r>
      <w:r>
        <w:rPr>
          <w:spacing w:val="-6"/>
          <w:sz w:val="30"/>
          <w:szCs w:val="30"/>
        </w:rPr>
        <w:t>13</w:t>
      </w:r>
      <w:r w:rsidR="002F6B03">
        <w:rPr>
          <w:spacing w:val="-6"/>
          <w:sz w:val="30"/>
          <w:szCs w:val="30"/>
        </w:rPr>
        <w:t xml:space="preserve"> случаев</w:t>
      </w:r>
      <w:r w:rsidRPr="001E11D1">
        <w:rPr>
          <w:spacing w:val="-6"/>
          <w:sz w:val="30"/>
          <w:szCs w:val="30"/>
        </w:rPr>
        <w:t xml:space="preserve">), </w:t>
      </w:r>
      <w:r w:rsidRPr="001E11D1">
        <w:rPr>
          <w:rFonts w:eastAsia="Times New Roman"/>
          <w:spacing w:val="-6"/>
          <w:sz w:val="30"/>
          <w:szCs w:val="30"/>
          <w:lang w:eastAsia="ru-RU"/>
        </w:rPr>
        <w:t xml:space="preserve">наличие смешанной ответственности нанимателя (работодателя) и потерпевшего 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– </w:t>
      </w:r>
      <w:r w:rsidRPr="003C5D62">
        <w:rPr>
          <w:rFonts w:eastAsia="Times New Roman"/>
          <w:spacing w:val="-6"/>
          <w:sz w:val="30"/>
          <w:szCs w:val="30"/>
          <w:lang w:eastAsia="ru-RU"/>
        </w:rPr>
        <w:t>1</w:t>
      </w:r>
      <w:r w:rsidR="003C5D62" w:rsidRPr="003C5D62">
        <w:rPr>
          <w:rFonts w:eastAsia="Times New Roman"/>
          <w:spacing w:val="-6"/>
          <w:sz w:val="30"/>
          <w:szCs w:val="30"/>
          <w:lang w:eastAsia="ru-RU"/>
        </w:rPr>
        <w:t>3</w:t>
      </w:r>
      <w:r w:rsidRPr="003C5D62">
        <w:rPr>
          <w:rFonts w:eastAsia="Times New Roman"/>
          <w:spacing w:val="-6"/>
          <w:sz w:val="30"/>
          <w:szCs w:val="30"/>
          <w:lang w:eastAsia="ru-RU"/>
        </w:rPr>
        <w:t>,</w:t>
      </w:r>
      <w:r w:rsidR="003C5D62" w:rsidRPr="003C5D62">
        <w:rPr>
          <w:rFonts w:eastAsia="Times New Roman"/>
          <w:spacing w:val="-6"/>
          <w:sz w:val="30"/>
          <w:szCs w:val="30"/>
          <w:lang w:eastAsia="ru-RU"/>
        </w:rPr>
        <w:t>6</w:t>
      </w:r>
      <w:r w:rsidRPr="001E11D1">
        <w:rPr>
          <w:rFonts w:eastAsia="Times New Roman"/>
          <w:spacing w:val="-6"/>
          <w:sz w:val="30"/>
          <w:szCs w:val="30"/>
          <w:lang w:eastAsia="ru-RU"/>
        </w:rPr>
        <w:t xml:space="preserve"> процента </w:t>
      </w:r>
      <w:r>
        <w:rPr>
          <w:rFonts w:eastAsia="Times New Roman"/>
          <w:spacing w:val="-6"/>
          <w:sz w:val="30"/>
          <w:szCs w:val="30"/>
          <w:lang w:eastAsia="ru-RU"/>
        </w:rPr>
        <w:t>(</w:t>
      </w:r>
      <w:r>
        <w:rPr>
          <w:rFonts w:eastAsia="Times New Roman"/>
          <w:spacing w:val="-6"/>
          <w:sz w:val="30"/>
          <w:szCs w:val="30"/>
          <w:lang w:eastAsia="ru-RU"/>
        </w:rPr>
        <w:t>5</w:t>
      </w:r>
      <w:r>
        <w:rPr>
          <w:rFonts w:eastAsia="Times New Roman"/>
          <w:spacing w:val="-6"/>
          <w:sz w:val="30"/>
          <w:szCs w:val="30"/>
          <w:lang w:eastAsia="ru-RU"/>
        </w:rPr>
        <w:t>),</w:t>
      </w:r>
      <w:r w:rsidRPr="001E11D1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1E0A38" w:rsidRPr="001E11D1">
        <w:rPr>
          <w:spacing w:val="-6"/>
          <w:sz w:val="30"/>
          <w:szCs w:val="30"/>
        </w:rPr>
        <w:t>при отсутствии вины нанимателя (работодателя</w:t>
      </w:r>
      <w:proofErr w:type="gramEnd"/>
      <w:r w:rsidR="001E0A38" w:rsidRPr="001E11D1">
        <w:rPr>
          <w:spacing w:val="-6"/>
          <w:sz w:val="30"/>
          <w:szCs w:val="30"/>
        </w:rPr>
        <w:t>) и потерпевшего</w:t>
      </w:r>
      <w:r w:rsidR="001E0A38" w:rsidRPr="001E0A38">
        <w:rPr>
          <w:spacing w:val="-6"/>
          <w:sz w:val="30"/>
          <w:szCs w:val="30"/>
        </w:rPr>
        <w:t xml:space="preserve"> </w:t>
      </w:r>
      <w:r w:rsidR="001E0A38" w:rsidRPr="001E11D1">
        <w:rPr>
          <w:spacing w:val="-6"/>
          <w:sz w:val="30"/>
          <w:szCs w:val="30"/>
        </w:rPr>
        <w:t xml:space="preserve">– </w:t>
      </w:r>
      <w:r w:rsidR="00E20928">
        <w:rPr>
          <w:spacing w:val="-6"/>
          <w:sz w:val="30"/>
          <w:szCs w:val="30"/>
        </w:rPr>
        <w:br/>
      </w:r>
      <w:r w:rsidR="001E0A38" w:rsidRPr="003C5D62">
        <w:rPr>
          <w:spacing w:val="-6"/>
          <w:sz w:val="30"/>
          <w:szCs w:val="30"/>
        </w:rPr>
        <w:t>13,6</w:t>
      </w:r>
      <w:r w:rsidR="001E0A38" w:rsidRPr="001E11D1">
        <w:rPr>
          <w:spacing w:val="-6"/>
          <w:sz w:val="30"/>
          <w:szCs w:val="30"/>
        </w:rPr>
        <w:t xml:space="preserve"> процента (3 случа</w:t>
      </w:r>
      <w:r w:rsidR="001E0A38">
        <w:rPr>
          <w:spacing w:val="-6"/>
          <w:sz w:val="30"/>
          <w:szCs w:val="30"/>
        </w:rPr>
        <w:t>я</w:t>
      </w:r>
      <w:r w:rsidR="001E0A38" w:rsidRPr="001E11D1">
        <w:rPr>
          <w:spacing w:val="-6"/>
          <w:sz w:val="30"/>
          <w:szCs w:val="30"/>
        </w:rPr>
        <w:t xml:space="preserve">), </w:t>
      </w:r>
      <w:r w:rsidRPr="001E11D1">
        <w:rPr>
          <w:spacing w:val="-6"/>
          <w:sz w:val="30"/>
          <w:szCs w:val="30"/>
        </w:rPr>
        <w:t xml:space="preserve">исключительно по вине самого потерпевшего – </w:t>
      </w:r>
      <w:r w:rsidR="00E20928">
        <w:rPr>
          <w:spacing w:val="-6"/>
          <w:sz w:val="30"/>
          <w:szCs w:val="30"/>
        </w:rPr>
        <w:br/>
      </w:r>
      <w:r w:rsidR="003C5D62">
        <w:rPr>
          <w:spacing w:val="-6"/>
          <w:sz w:val="30"/>
          <w:szCs w:val="30"/>
        </w:rPr>
        <w:t>4</w:t>
      </w:r>
      <w:r w:rsidRPr="001E11D1">
        <w:rPr>
          <w:spacing w:val="-6"/>
          <w:sz w:val="30"/>
          <w:szCs w:val="30"/>
        </w:rPr>
        <w:t>,</w:t>
      </w:r>
      <w:r w:rsidR="003C5D62">
        <w:rPr>
          <w:spacing w:val="-6"/>
          <w:sz w:val="30"/>
          <w:szCs w:val="30"/>
        </w:rPr>
        <w:t>5</w:t>
      </w:r>
      <w:r w:rsidRPr="001E11D1">
        <w:rPr>
          <w:spacing w:val="-6"/>
          <w:sz w:val="30"/>
          <w:szCs w:val="30"/>
        </w:rPr>
        <w:t xml:space="preserve"> процента (1)</w:t>
      </w:r>
      <w:r>
        <w:rPr>
          <w:spacing w:val="-6"/>
          <w:sz w:val="30"/>
          <w:szCs w:val="30"/>
        </w:rPr>
        <w:t>.</w:t>
      </w:r>
    </w:p>
    <w:p w:rsidR="00E20928" w:rsidRPr="00E20928" w:rsidRDefault="00E20928" w:rsidP="00C35158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C35158" w:rsidRDefault="00E20928" w:rsidP="00E20928">
      <w:pPr>
        <w:widowControl w:val="0"/>
        <w:autoSpaceDE w:val="0"/>
        <w:autoSpaceDN w:val="0"/>
        <w:adjustRightInd w:val="0"/>
        <w:rPr>
          <w:spacing w:val="-6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BBE71BF" wp14:editId="741E5A51">
            <wp:extent cx="6116128" cy="4339087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A521C" w:rsidRPr="003478C5" w:rsidRDefault="00EA521C" w:rsidP="00EA521C">
      <w:pPr>
        <w:ind w:firstLine="851"/>
        <w:rPr>
          <w:rFonts w:eastAsia="Times New Roman"/>
          <w:sz w:val="30"/>
          <w:szCs w:val="30"/>
          <w:lang w:eastAsia="ru-RU"/>
        </w:rPr>
      </w:pPr>
      <w:r w:rsidRPr="003478C5">
        <w:rPr>
          <w:rFonts w:eastAsia="Times New Roman"/>
          <w:sz w:val="30"/>
          <w:szCs w:val="30"/>
          <w:lang w:eastAsia="ru-RU"/>
        </w:rPr>
        <w:t xml:space="preserve">Основными причинами несчастных случаев </w:t>
      </w:r>
      <w:r w:rsidRPr="003478C5">
        <w:rPr>
          <w:rFonts w:eastAsia="Calibri"/>
          <w:sz w:val="30"/>
          <w:szCs w:val="30"/>
          <w:lang w:eastAsia="ru-RU"/>
        </w:rPr>
        <w:t>по результатам завершенных специальных расследований</w:t>
      </w:r>
      <w:r w:rsidRPr="003478C5">
        <w:rPr>
          <w:rFonts w:eastAsia="Times New Roman"/>
          <w:sz w:val="30"/>
          <w:szCs w:val="30"/>
          <w:lang w:eastAsia="ru-RU"/>
        </w:rPr>
        <w:t xml:space="preserve"> явились:</w:t>
      </w:r>
    </w:p>
    <w:p w:rsidR="003478C5" w:rsidRPr="003478C5" w:rsidRDefault="003478C5" w:rsidP="003478C5">
      <w:pPr>
        <w:autoSpaceDE w:val="0"/>
        <w:autoSpaceDN w:val="0"/>
        <w:adjustRightInd w:val="0"/>
        <w:ind w:firstLine="851"/>
        <w:rPr>
          <w:rFonts w:eastAsia="Calibri"/>
          <w:sz w:val="30"/>
          <w:szCs w:val="30"/>
          <w:lang w:eastAsia="ru-RU"/>
        </w:rPr>
      </w:pPr>
      <w:r w:rsidRPr="003478C5">
        <w:rPr>
          <w:rFonts w:eastAsia="Calibri"/>
          <w:sz w:val="30"/>
          <w:szCs w:val="30"/>
          <w:lang w:eastAsia="ru-RU"/>
        </w:rPr>
        <w:t xml:space="preserve">неудовлетворительное содержание и недостатки в организации рабочих мест – </w:t>
      </w:r>
      <w:r w:rsidRPr="003478C5">
        <w:rPr>
          <w:rFonts w:eastAsia="Calibri"/>
          <w:sz w:val="30"/>
          <w:szCs w:val="30"/>
          <w:lang w:eastAsia="ru-RU"/>
        </w:rPr>
        <w:t>16</w:t>
      </w:r>
      <w:r w:rsidRPr="003478C5">
        <w:rPr>
          <w:rFonts w:eastAsia="Calibri"/>
          <w:sz w:val="30"/>
          <w:szCs w:val="30"/>
          <w:lang w:eastAsia="ru-RU"/>
        </w:rPr>
        <w:t>,</w:t>
      </w:r>
      <w:r w:rsidRPr="003478C5">
        <w:rPr>
          <w:rFonts w:eastAsia="Calibri"/>
          <w:sz w:val="30"/>
          <w:szCs w:val="30"/>
          <w:lang w:eastAsia="ru-RU"/>
        </w:rPr>
        <w:t>2</w:t>
      </w:r>
      <w:r w:rsidRPr="003478C5">
        <w:rPr>
          <w:rFonts w:eastAsia="Calibri"/>
          <w:sz w:val="30"/>
          <w:szCs w:val="30"/>
          <w:lang w:eastAsia="ru-RU"/>
        </w:rPr>
        <w:t xml:space="preserve"> процента;</w:t>
      </w:r>
    </w:p>
    <w:p w:rsidR="00EA521C" w:rsidRDefault="00EA521C" w:rsidP="00EA521C">
      <w:pPr>
        <w:autoSpaceDE w:val="0"/>
        <w:autoSpaceDN w:val="0"/>
        <w:adjustRightInd w:val="0"/>
        <w:ind w:firstLine="851"/>
        <w:rPr>
          <w:rFonts w:eastAsia="Calibri"/>
          <w:sz w:val="30"/>
          <w:szCs w:val="30"/>
          <w:lang w:eastAsia="ru-RU"/>
        </w:rPr>
      </w:pPr>
      <w:r w:rsidRPr="003478C5">
        <w:rPr>
          <w:rFonts w:eastAsia="Calibri"/>
          <w:sz w:val="30"/>
          <w:szCs w:val="30"/>
          <w:lang w:eastAsia="ru-RU"/>
        </w:rPr>
        <w:t xml:space="preserve">невыполнение руководителями и специалистами обязанностей </w:t>
      </w:r>
      <w:r w:rsidRPr="003478C5">
        <w:rPr>
          <w:rFonts w:eastAsia="Calibri"/>
          <w:sz w:val="30"/>
          <w:szCs w:val="30"/>
          <w:lang w:eastAsia="ru-RU"/>
        </w:rPr>
        <w:br/>
        <w:t>по охране труда –1</w:t>
      </w:r>
      <w:r w:rsidR="003478C5" w:rsidRPr="003478C5">
        <w:rPr>
          <w:rFonts w:eastAsia="Calibri"/>
          <w:sz w:val="30"/>
          <w:szCs w:val="30"/>
          <w:lang w:eastAsia="ru-RU"/>
        </w:rPr>
        <w:t>5</w:t>
      </w:r>
      <w:r w:rsidRPr="003478C5">
        <w:rPr>
          <w:rFonts w:eastAsia="Calibri"/>
          <w:sz w:val="30"/>
          <w:szCs w:val="30"/>
          <w:lang w:eastAsia="ru-RU"/>
        </w:rPr>
        <w:t>,</w:t>
      </w:r>
      <w:r w:rsidR="003478C5" w:rsidRPr="003478C5">
        <w:rPr>
          <w:rFonts w:eastAsia="Calibri"/>
          <w:sz w:val="30"/>
          <w:szCs w:val="30"/>
          <w:lang w:eastAsia="ru-RU"/>
        </w:rPr>
        <w:t>0</w:t>
      </w:r>
      <w:r w:rsidRPr="003478C5">
        <w:rPr>
          <w:rFonts w:eastAsia="Calibri"/>
          <w:sz w:val="30"/>
          <w:szCs w:val="30"/>
          <w:lang w:eastAsia="ru-RU"/>
        </w:rPr>
        <w:t xml:space="preserve"> процент</w:t>
      </w:r>
      <w:r w:rsidR="00B413BA">
        <w:rPr>
          <w:rFonts w:eastAsia="Calibri"/>
          <w:sz w:val="30"/>
          <w:szCs w:val="30"/>
          <w:lang w:eastAsia="ru-RU"/>
        </w:rPr>
        <w:t>ов</w:t>
      </w:r>
      <w:r w:rsidRPr="003478C5">
        <w:rPr>
          <w:rFonts w:eastAsia="Calibri"/>
          <w:sz w:val="30"/>
          <w:szCs w:val="30"/>
          <w:lang w:eastAsia="ru-RU"/>
        </w:rPr>
        <w:t>;</w:t>
      </w:r>
    </w:p>
    <w:p w:rsidR="003478C5" w:rsidRPr="003478C5" w:rsidRDefault="003478C5" w:rsidP="003478C5">
      <w:pPr>
        <w:autoSpaceDE w:val="0"/>
        <w:autoSpaceDN w:val="0"/>
        <w:adjustRightInd w:val="0"/>
        <w:ind w:firstLine="851"/>
        <w:rPr>
          <w:rFonts w:eastAsia="Calibri"/>
          <w:spacing w:val="-8"/>
          <w:sz w:val="30"/>
          <w:szCs w:val="30"/>
          <w:lang w:eastAsia="ru-RU"/>
        </w:rPr>
      </w:pPr>
      <w:r w:rsidRPr="003478C5">
        <w:rPr>
          <w:rFonts w:eastAsia="Calibri"/>
          <w:spacing w:val="-8"/>
          <w:sz w:val="30"/>
          <w:szCs w:val="30"/>
          <w:lang w:eastAsia="ru-RU"/>
        </w:rPr>
        <w:t xml:space="preserve">допуск потерпевшего к работе без проведения стажировки </w:t>
      </w:r>
      <w:r w:rsidRPr="003478C5">
        <w:rPr>
          <w:rFonts w:eastAsia="Calibri"/>
          <w:spacing w:val="-8"/>
          <w:sz w:val="30"/>
          <w:szCs w:val="30"/>
          <w:lang w:eastAsia="ru-RU"/>
        </w:rPr>
        <w:br/>
        <w:t xml:space="preserve">по вопросам охраны труда и (или) инструктажа по охране труда – </w:t>
      </w:r>
      <w:r w:rsidRPr="003478C5">
        <w:rPr>
          <w:rFonts w:eastAsia="Calibri"/>
          <w:spacing w:val="-8"/>
          <w:sz w:val="30"/>
          <w:szCs w:val="30"/>
          <w:lang w:eastAsia="ru-RU"/>
        </w:rPr>
        <w:t>11</w:t>
      </w:r>
      <w:r w:rsidRPr="003478C5">
        <w:rPr>
          <w:rFonts w:eastAsia="Calibri"/>
          <w:spacing w:val="-8"/>
          <w:sz w:val="30"/>
          <w:szCs w:val="30"/>
          <w:lang w:eastAsia="ru-RU"/>
        </w:rPr>
        <w:t>,</w:t>
      </w:r>
      <w:r w:rsidRPr="003478C5">
        <w:rPr>
          <w:rFonts w:eastAsia="Calibri"/>
          <w:spacing w:val="-8"/>
          <w:sz w:val="30"/>
          <w:szCs w:val="30"/>
          <w:lang w:eastAsia="ru-RU"/>
        </w:rPr>
        <w:t>2</w:t>
      </w:r>
      <w:r w:rsidRPr="003478C5">
        <w:rPr>
          <w:rFonts w:eastAsia="Calibri"/>
          <w:spacing w:val="-8"/>
          <w:sz w:val="30"/>
          <w:szCs w:val="30"/>
          <w:lang w:eastAsia="ru-RU"/>
        </w:rPr>
        <w:t> процента;</w:t>
      </w:r>
    </w:p>
    <w:p w:rsidR="003478C5" w:rsidRPr="003478C5" w:rsidRDefault="003478C5" w:rsidP="003478C5">
      <w:pPr>
        <w:autoSpaceDE w:val="0"/>
        <w:autoSpaceDN w:val="0"/>
        <w:adjustRightInd w:val="0"/>
        <w:ind w:firstLine="851"/>
        <w:rPr>
          <w:rFonts w:eastAsia="Calibri"/>
          <w:sz w:val="30"/>
          <w:szCs w:val="30"/>
          <w:lang w:eastAsia="ru-RU"/>
        </w:rPr>
      </w:pPr>
      <w:r w:rsidRPr="003478C5">
        <w:rPr>
          <w:rFonts w:eastAsia="Calibri"/>
          <w:sz w:val="30"/>
          <w:szCs w:val="30"/>
          <w:lang w:eastAsia="ru-RU"/>
        </w:rPr>
        <w:t xml:space="preserve">допуск потерпевшего к работе без обучения и проверки знаний </w:t>
      </w:r>
      <w:r w:rsidRPr="003478C5">
        <w:rPr>
          <w:rFonts w:eastAsia="Calibri"/>
          <w:sz w:val="30"/>
          <w:szCs w:val="30"/>
          <w:lang w:eastAsia="ru-RU"/>
        </w:rPr>
        <w:br/>
        <w:t xml:space="preserve">по вопросам охраны труда – </w:t>
      </w:r>
      <w:r w:rsidRPr="003478C5">
        <w:rPr>
          <w:rFonts w:eastAsia="Calibri"/>
          <w:sz w:val="30"/>
          <w:szCs w:val="30"/>
          <w:lang w:eastAsia="ru-RU"/>
        </w:rPr>
        <w:t>10</w:t>
      </w:r>
      <w:r w:rsidRPr="003478C5">
        <w:rPr>
          <w:rFonts w:eastAsia="Calibri"/>
          <w:sz w:val="30"/>
          <w:szCs w:val="30"/>
          <w:lang w:eastAsia="ru-RU"/>
        </w:rPr>
        <w:t>,</w:t>
      </w:r>
      <w:r w:rsidRPr="003478C5">
        <w:rPr>
          <w:rFonts w:eastAsia="Calibri"/>
          <w:sz w:val="30"/>
          <w:szCs w:val="30"/>
          <w:lang w:eastAsia="ru-RU"/>
        </w:rPr>
        <w:t>0</w:t>
      </w:r>
      <w:r w:rsidRPr="003478C5">
        <w:rPr>
          <w:rFonts w:eastAsia="Calibri"/>
          <w:sz w:val="30"/>
          <w:szCs w:val="30"/>
          <w:lang w:eastAsia="ru-RU"/>
        </w:rPr>
        <w:t xml:space="preserve"> процентов;</w:t>
      </w:r>
    </w:p>
    <w:p w:rsidR="003478C5" w:rsidRDefault="003478C5" w:rsidP="00EA521C">
      <w:pPr>
        <w:autoSpaceDE w:val="0"/>
        <w:autoSpaceDN w:val="0"/>
        <w:adjustRightInd w:val="0"/>
        <w:ind w:firstLine="851"/>
        <w:rPr>
          <w:rFonts w:eastAsia="Calibri"/>
          <w:sz w:val="30"/>
          <w:szCs w:val="30"/>
          <w:lang w:eastAsia="ru-RU"/>
        </w:rPr>
      </w:pPr>
      <w:r w:rsidRPr="006C10D6">
        <w:rPr>
          <w:spacing w:val="-6"/>
          <w:sz w:val="30"/>
          <w:szCs w:val="30"/>
        </w:rPr>
        <w:t>отсутствие, некачественная разработка проектной документации</w:t>
      </w:r>
      <w:r w:rsidRPr="006C10D6">
        <w:rPr>
          <w:spacing w:val="-6"/>
          <w:sz w:val="30"/>
          <w:szCs w:val="30"/>
        </w:rPr>
        <w:br/>
        <w:t>на строительство, реконструкцию производственных объектов, сооружений, оборудования –</w:t>
      </w:r>
      <w:r>
        <w:rPr>
          <w:spacing w:val="-6"/>
          <w:sz w:val="30"/>
          <w:szCs w:val="30"/>
        </w:rPr>
        <w:t>8</w:t>
      </w:r>
      <w:r w:rsidRPr="003478C5">
        <w:rPr>
          <w:spacing w:val="-6"/>
          <w:sz w:val="30"/>
          <w:szCs w:val="30"/>
        </w:rPr>
        <w:t>,</w:t>
      </w:r>
      <w:r>
        <w:rPr>
          <w:spacing w:val="-6"/>
          <w:sz w:val="30"/>
          <w:szCs w:val="30"/>
        </w:rPr>
        <w:t>7</w:t>
      </w:r>
      <w:r w:rsidRPr="003478C5">
        <w:rPr>
          <w:spacing w:val="-6"/>
          <w:sz w:val="30"/>
          <w:szCs w:val="30"/>
        </w:rPr>
        <w:t xml:space="preserve"> процента;</w:t>
      </w:r>
    </w:p>
    <w:p w:rsidR="00EA521C" w:rsidRDefault="00EA521C" w:rsidP="00EA521C">
      <w:pPr>
        <w:autoSpaceDE w:val="0"/>
        <w:autoSpaceDN w:val="0"/>
        <w:adjustRightInd w:val="0"/>
        <w:ind w:firstLine="851"/>
        <w:rPr>
          <w:rFonts w:eastAsia="Calibri"/>
          <w:sz w:val="30"/>
          <w:szCs w:val="30"/>
          <w:lang w:eastAsia="ru-RU"/>
        </w:rPr>
      </w:pPr>
      <w:r w:rsidRPr="003478C5">
        <w:rPr>
          <w:rFonts w:eastAsia="Times New Roman"/>
          <w:sz w:val="30"/>
          <w:szCs w:val="30"/>
          <w:lang w:eastAsia="ru-RU"/>
        </w:rPr>
        <w:t>нарушение потерпевшим трудовой дисциплины, требований нормативных правовых актов, технических нормативных правовых актов,</w:t>
      </w:r>
      <w:r w:rsidRPr="003478C5">
        <w:rPr>
          <w:rFonts w:eastAsia="Calibri"/>
          <w:sz w:val="30"/>
          <w:szCs w:val="30"/>
          <w:lang w:eastAsia="ru-RU"/>
        </w:rPr>
        <w:t xml:space="preserve"> локальных нормативных актов по охране труда – </w:t>
      </w:r>
      <w:r w:rsidR="003478C5" w:rsidRPr="003478C5">
        <w:rPr>
          <w:rFonts w:eastAsia="Calibri"/>
          <w:sz w:val="30"/>
          <w:szCs w:val="30"/>
          <w:lang w:eastAsia="ru-RU"/>
        </w:rPr>
        <w:t>6</w:t>
      </w:r>
      <w:r w:rsidRPr="003478C5">
        <w:rPr>
          <w:rFonts w:eastAsia="Calibri"/>
          <w:sz w:val="30"/>
          <w:szCs w:val="30"/>
          <w:lang w:eastAsia="ru-RU"/>
        </w:rPr>
        <w:t>,</w:t>
      </w:r>
      <w:r w:rsidR="003478C5" w:rsidRPr="003478C5">
        <w:rPr>
          <w:rFonts w:eastAsia="Calibri"/>
          <w:sz w:val="30"/>
          <w:szCs w:val="30"/>
          <w:lang w:eastAsia="ru-RU"/>
        </w:rPr>
        <w:t>2</w:t>
      </w:r>
      <w:r w:rsidRPr="003478C5">
        <w:rPr>
          <w:rFonts w:eastAsia="Calibri"/>
          <w:sz w:val="30"/>
          <w:szCs w:val="30"/>
          <w:lang w:eastAsia="ru-RU"/>
        </w:rPr>
        <w:t xml:space="preserve"> процента;</w:t>
      </w:r>
    </w:p>
    <w:p w:rsidR="003478C5" w:rsidRDefault="003478C5" w:rsidP="00EA521C">
      <w:pPr>
        <w:autoSpaceDE w:val="0"/>
        <w:autoSpaceDN w:val="0"/>
        <w:adjustRightInd w:val="0"/>
        <w:ind w:firstLine="851"/>
        <w:rPr>
          <w:rFonts w:eastAsia="Calibri"/>
          <w:sz w:val="30"/>
          <w:szCs w:val="30"/>
          <w:lang w:eastAsia="ru-RU"/>
        </w:rPr>
      </w:pPr>
      <w:r w:rsidRPr="007E4664">
        <w:rPr>
          <w:spacing w:val="-6"/>
          <w:sz w:val="30"/>
          <w:szCs w:val="30"/>
        </w:rPr>
        <w:t>нарушение требований проектной документации –</w:t>
      </w:r>
      <w:r>
        <w:rPr>
          <w:spacing w:val="-6"/>
          <w:sz w:val="30"/>
          <w:szCs w:val="30"/>
        </w:rPr>
        <w:t>5</w:t>
      </w:r>
      <w:r w:rsidRPr="003478C5">
        <w:rPr>
          <w:spacing w:val="-6"/>
          <w:sz w:val="30"/>
          <w:szCs w:val="30"/>
        </w:rPr>
        <w:t>,0 процентов;</w:t>
      </w:r>
    </w:p>
    <w:p w:rsidR="003478C5" w:rsidRPr="003478C5" w:rsidRDefault="003478C5" w:rsidP="003478C5">
      <w:pPr>
        <w:autoSpaceDE w:val="0"/>
        <w:autoSpaceDN w:val="0"/>
        <w:adjustRightInd w:val="0"/>
        <w:ind w:firstLine="851"/>
        <w:rPr>
          <w:rFonts w:eastAsia="Calibri"/>
          <w:spacing w:val="-8"/>
          <w:sz w:val="30"/>
          <w:szCs w:val="30"/>
          <w:lang w:eastAsia="ru-RU"/>
        </w:rPr>
      </w:pPr>
      <w:r w:rsidRPr="003478C5">
        <w:rPr>
          <w:spacing w:val="-8"/>
          <w:sz w:val="30"/>
          <w:szCs w:val="30"/>
        </w:rPr>
        <w:t>необеспечение потерпевшего средствами индивидуальной защиты –</w:t>
      </w:r>
      <w:r w:rsidRPr="003478C5">
        <w:rPr>
          <w:spacing w:val="-8"/>
          <w:sz w:val="30"/>
          <w:szCs w:val="30"/>
        </w:rPr>
        <w:t>5</w:t>
      </w:r>
      <w:r w:rsidRPr="003478C5">
        <w:rPr>
          <w:spacing w:val="-8"/>
          <w:sz w:val="30"/>
          <w:szCs w:val="30"/>
        </w:rPr>
        <w:t>,0</w:t>
      </w:r>
      <w:r w:rsidRPr="003478C5">
        <w:rPr>
          <w:rFonts w:eastAsia="Calibri"/>
          <w:spacing w:val="-8"/>
          <w:sz w:val="30"/>
          <w:szCs w:val="30"/>
          <w:lang w:eastAsia="ru-RU"/>
        </w:rPr>
        <w:t> процент</w:t>
      </w:r>
      <w:r w:rsidRPr="003478C5">
        <w:rPr>
          <w:rFonts w:eastAsia="Calibri"/>
          <w:spacing w:val="-8"/>
          <w:sz w:val="30"/>
          <w:szCs w:val="30"/>
          <w:lang w:eastAsia="ru-RU"/>
        </w:rPr>
        <w:t>ов</w:t>
      </w:r>
      <w:r w:rsidRPr="003478C5">
        <w:rPr>
          <w:rFonts w:eastAsia="Calibri"/>
          <w:spacing w:val="-8"/>
          <w:sz w:val="30"/>
          <w:szCs w:val="30"/>
          <w:lang w:eastAsia="ru-RU"/>
        </w:rPr>
        <w:t>;</w:t>
      </w:r>
    </w:p>
    <w:p w:rsidR="003478C5" w:rsidRPr="003478C5" w:rsidRDefault="003478C5" w:rsidP="003478C5">
      <w:pPr>
        <w:autoSpaceDE w:val="0"/>
        <w:autoSpaceDN w:val="0"/>
        <w:adjustRightInd w:val="0"/>
        <w:ind w:firstLine="851"/>
        <w:rPr>
          <w:rFonts w:eastAsia="Calibri"/>
          <w:spacing w:val="-8"/>
          <w:sz w:val="30"/>
          <w:szCs w:val="30"/>
          <w:lang w:eastAsia="ru-RU"/>
        </w:rPr>
      </w:pPr>
      <w:r w:rsidRPr="003478C5">
        <w:rPr>
          <w:spacing w:val="-8"/>
          <w:sz w:val="30"/>
          <w:szCs w:val="30"/>
        </w:rPr>
        <w:t>нарушение требований по охране труда другими работниками –3,</w:t>
      </w:r>
      <w:r w:rsidRPr="003478C5">
        <w:rPr>
          <w:spacing w:val="-8"/>
          <w:sz w:val="30"/>
          <w:szCs w:val="30"/>
        </w:rPr>
        <w:t>7</w:t>
      </w:r>
      <w:r w:rsidRPr="003478C5">
        <w:rPr>
          <w:rFonts w:eastAsia="Calibri"/>
          <w:spacing w:val="-8"/>
          <w:sz w:val="30"/>
          <w:szCs w:val="30"/>
          <w:lang w:eastAsia="ru-RU"/>
        </w:rPr>
        <w:t> процент</w:t>
      </w:r>
      <w:r w:rsidR="005B4268">
        <w:rPr>
          <w:rFonts w:eastAsia="Calibri"/>
          <w:spacing w:val="-8"/>
          <w:sz w:val="30"/>
          <w:szCs w:val="30"/>
          <w:lang w:eastAsia="ru-RU"/>
        </w:rPr>
        <w:t>ов</w:t>
      </w:r>
      <w:r w:rsidRPr="003478C5">
        <w:rPr>
          <w:rFonts w:eastAsia="Calibri"/>
          <w:spacing w:val="-8"/>
          <w:sz w:val="30"/>
          <w:szCs w:val="30"/>
          <w:lang w:eastAsia="ru-RU"/>
        </w:rPr>
        <w:t>;</w:t>
      </w:r>
    </w:p>
    <w:p w:rsidR="00EA521C" w:rsidRDefault="00EA521C" w:rsidP="00EA521C">
      <w:pPr>
        <w:autoSpaceDE w:val="0"/>
        <w:autoSpaceDN w:val="0"/>
        <w:adjustRightInd w:val="0"/>
        <w:ind w:firstLine="851"/>
        <w:rPr>
          <w:rFonts w:eastAsia="Calibri"/>
          <w:sz w:val="30"/>
          <w:szCs w:val="30"/>
          <w:lang w:eastAsia="ru-RU"/>
        </w:rPr>
      </w:pPr>
      <w:r w:rsidRPr="002C4919">
        <w:rPr>
          <w:rFonts w:eastAsia="Calibri"/>
          <w:sz w:val="30"/>
          <w:szCs w:val="30"/>
          <w:lang w:eastAsia="ru-RU"/>
        </w:rPr>
        <w:t xml:space="preserve">личная неосторожность потерпевшего – </w:t>
      </w:r>
      <w:r w:rsidR="002C4919" w:rsidRPr="002C4919">
        <w:rPr>
          <w:rFonts w:eastAsia="Calibri"/>
          <w:sz w:val="30"/>
          <w:szCs w:val="30"/>
          <w:lang w:eastAsia="ru-RU"/>
        </w:rPr>
        <w:t>3</w:t>
      </w:r>
      <w:r w:rsidRPr="002C4919">
        <w:rPr>
          <w:rFonts w:eastAsia="Calibri"/>
          <w:sz w:val="30"/>
          <w:szCs w:val="30"/>
          <w:lang w:eastAsia="ru-RU"/>
        </w:rPr>
        <w:t>,</w:t>
      </w:r>
      <w:r w:rsidR="002C4919" w:rsidRPr="002C4919">
        <w:rPr>
          <w:rFonts w:eastAsia="Calibri"/>
          <w:sz w:val="30"/>
          <w:szCs w:val="30"/>
          <w:lang w:eastAsia="ru-RU"/>
        </w:rPr>
        <w:t>7</w:t>
      </w:r>
      <w:r w:rsidRPr="002C4919">
        <w:rPr>
          <w:rFonts w:eastAsia="Calibri"/>
          <w:sz w:val="30"/>
          <w:szCs w:val="30"/>
          <w:lang w:eastAsia="ru-RU"/>
        </w:rPr>
        <w:t xml:space="preserve"> процентов</w:t>
      </w:r>
      <w:r w:rsidR="002C4919" w:rsidRPr="002C4919">
        <w:rPr>
          <w:rFonts w:eastAsia="Calibri"/>
          <w:sz w:val="30"/>
          <w:szCs w:val="30"/>
          <w:lang w:eastAsia="ru-RU"/>
        </w:rPr>
        <w:t>.</w:t>
      </w:r>
    </w:p>
    <w:p w:rsidR="002C4919" w:rsidRDefault="002C4919" w:rsidP="00EA521C">
      <w:pPr>
        <w:autoSpaceDE w:val="0"/>
        <w:autoSpaceDN w:val="0"/>
        <w:adjustRightInd w:val="0"/>
        <w:ind w:firstLine="851"/>
        <w:rPr>
          <w:rFonts w:eastAsia="Calibri"/>
          <w:sz w:val="30"/>
          <w:szCs w:val="30"/>
          <w:lang w:eastAsia="ru-RU"/>
        </w:rPr>
      </w:pPr>
    </w:p>
    <w:p w:rsidR="002C4919" w:rsidRDefault="002C4919" w:rsidP="00EA521C">
      <w:pPr>
        <w:autoSpaceDE w:val="0"/>
        <w:autoSpaceDN w:val="0"/>
        <w:adjustRightInd w:val="0"/>
        <w:ind w:firstLine="851"/>
        <w:rPr>
          <w:rFonts w:eastAsia="Calibri"/>
          <w:sz w:val="30"/>
          <w:szCs w:val="30"/>
          <w:lang w:eastAsia="ru-RU"/>
        </w:rPr>
      </w:pPr>
    </w:p>
    <w:p w:rsidR="00464330" w:rsidRPr="00DE04BB" w:rsidRDefault="00464330" w:rsidP="00464330">
      <w:pPr>
        <w:spacing w:line="280" w:lineRule="exact"/>
        <w:ind w:right="4251"/>
        <w:rPr>
          <w:sz w:val="30"/>
          <w:szCs w:val="30"/>
        </w:rPr>
      </w:pPr>
      <w:r w:rsidRPr="00DE04BB">
        <w:rPr>
          <w:sz w:val="30"/>
          <w:szCs w:val="30"/>
        </w:rPr>
        <w:t>Управление государственной экспертизы условий труда и охраны труда комитета по труду, занятости и социальной защите Минского облисполкома</w:t>
      </w:r>
    </w:p>
    <w:p w:rsidR="002C4919" w:rsidRDefault="002C4919" w:rsidP="00EA521C">
      <w:pPr>
        <w:autoSpaceDE w:val="0"/>
        <w:autoSpaceDN w:val="0"/>
        <w:adjustRightInd w:val="0"/>
        <w:ind w:firstLine="851"/>
        <w:rPr>
          <w:rFonts w:eastAsia="Calibri"/>
          <w:sz w:val="30"/>
          <w:szCs w:val="30"/>
          <w:lang w:eastAsia="ru-RU"/>
        </w:rPr>
      </w:pPr>
    </w:p>
    <w:p w:rsidR="002C4919" w:rsidRDefault="002C4919" w:rsidP="00EA521C">
      <w:pPr>
        <w:autoSpaceDE w:val="0"/>
        <w:autoSpaceDN w:val="0"/>
        <w:adjustRightInd w:val="0"/>
        <w:ind w:firstLine="851"/>
        <w:rPr>
          <w:rFonts w:eastAsia="Times New Roman"/>
          <w:sz w:val="30"/>
          <w:szCs w:val="30"/>
          <w:lang w:eastAsia="ru-RU"/>
        </w:rPr>
      </w:pPr>
    </w:p>
    <w:p w:rsidR="00464330" w:rsidRDefault="00464330" w:rsidP="00EA521C">
      <w:pPr>
        <w:autoSpaceDE w:val="0"/>
        <w:autoSpaceDN w:val="0"/>
        <w:adjustRightInd w:val="0"/>
        <w:ind w:firstLine="851"/>
        <w:rPr>
          <w:rFonts w:eastAsia="Times New Roman"/>
          <w:sz w:val="30"/>
          <w:szCs w:val="30"/>
          <w:lang w:eastAsia="ru-RU"/>
        </w:rPr>
      </w:pPr>
    </w:p>
    <w:p w:rsidR="00464330" w:rsidRDefault="00464330" w:rsidP="00EA521C">
      <w:pPr>
        <w:autoSpaceDE w:val="0"/>
        <w:autoSpaceDN w:val="0"/>
        <w:adjustRightInd w:val="0"/>
        <w:ind w:firstLine="851"/>
        <w:rPr>
          <w:rFonts w:eastAsia="Times New Roman"/>
          <w:sz w:val="30"/>
          <w:szCs w:val="30"/>
          <w:lang w:eastAsia="ru-RU"/>
        </w:rPr>
      </w:pPr>
    </w:p>
    <w:p w:rsidR="00464330" w:rsidRDefault="00464330" w:rsidP="00EA521C">
      <w:pPr>
        <w:autoSpaceDE w:val="0"/>
        <w:autoSpaceDN w:val="0"/>
        <w:adjustRightInd w:val="0"/>
        <w:ind w:firstLine="851"/>
        <w:rPr>
          <w:rFonts w:eastAsia="Times New Roman"/>
          <w:sz w:val="30"/>
          <w:szCs w:val="30"/>
          <w:lang w:eastAsia="ru-RU"/>
        </w:rPr>
      </w:pPr>
    </w:p>
    <w:p w:rsidR="00464330" w:rsidRDefault="00464330" w:rsidP="00EA521C">
      <w:pPr>
        <w:autoSpaceDE w:val="0"/>
        <w:autoSpaceDN w:val="0"/>
        <w:adjustRightInd w:val="0"/>
        <w:ind w:firstLine="851"/>
        <w:rPr>
          <w:rFonts w:eastAsia="Times New Roman"/>
          <w:sz w:val="30"/>
          <w:szCs w:val="30"/>
          <w:lang w:eastAsia="ru-RU"/>
        </w:rPr>
      </w:pPr>
    </w:p>
    <w:p w:rsidR="00464330" w:rsidRDefault="00464330" w:rsidP="00EA521C">
      <w:pPr>
        <w:autoSpaceDE w:val="0"/>
        <w:autoSpaceDN w:val="0"/>
        <w:adjustRightInd w:val="0"/>
        <w:ind w:firstLine="851"/>
        <w:rPr>
          <w:rFonts w:eastAsia="Times New Roman"/>
          <w:sz w:val="30"/>
          <w:szCs w:val="30"/>
          <w:lang w:eastAsia="ru-RU"/>
        </w:rPr>
      </w:pPr>
    </w:p>
    <w:p w:rsidR="00464330" w:rsidRDefault="00464330" w:rsidP="00EA521C">
      <w:pPr>
        <w:autoSpaceDE w:val="0"/>
        <w:autoSpaceDN w:val="0"/>
        <w:adjustRightInd w:val="0"/>
        <w:ind w:firstLine="851"/>
        <w:rPr>
          <w:rFonts w:eastAsia="Times New Roman"/>
          <w:sz w:val="30"/>
          <w:szCs w:val="30"/>
          <w:lang w:eastAsia="ru-RU"/>
        </w:rPr>
      </w:pPr>
    </w:p>
    <w:p w:rsidR="00464330" w:rsidRDefault="00464330" w:rsidP="00EA521C">
      <w:pPr>
        <w:autoSpaceDE w:val="0"/>
        <w:autoSpaceDN w:val="0"/>
        <w:adjustRightInd w:val="0"/>
        <w:ind w:firstLine="851"/>
        <w:rPr>
          <w:rFonts w:eastAsia="Times New Roman"/>
          <w:sz w:val="30"/>
          <w:szCs w:val="30"/>
          <w:lang w:eastAsia="ru-RU"/>
        </w:rPr>
      </w:pPr>
    </w:p>
    <w:p w:rsidR="00464330" w:rsidRDefault="00464330" w:rsidP="00EA521C">
      <w:pPr>
        <w:autoSpaceDE w:val="0"/>
        <w:autoSpaceDN w:val="0"/>
        <w:adjustRightInd w:val="0"/>
        <w:ind w:firstLine="851"/>
        <w:rPr>
          <w:rFonts w:eastAsia="Times New Roman"/>
          <w:sz w:val="30"/>
          <w:szCs w:val="30"/>
          <w:lang w:eastAsia="ru-RU"/>
        </w:rPr>
      </w:pPr>
    </w:p>
    <w:p w:rsidR="00464330" w:rsidRDefault="00464330" w:rsidP="00EA521C">
      <w:pPr>
        <w:autoSpaceDE w:val="0"/>
        <w:autoSpaceDN w:val="0"/>
        <w:adjustRightInd w:val="0"/>
        <w:ind w:firstLine="851"/>
        <w:rPr>
          <w:rFonts w:eastAsia="Times New Roman"/>
          <w:sz w:val="30"/>
          <w:szCs w:val="30"/>
          <w:lang w:eastAsia="ru-RU"/>
        </w:rPr>
      </w:pPr>
    </w:p>
    <w:p w:rsidR="00464330" w:rsidRDefault="00464330" w:rsidP="00EA521C">
      <w:pPr>
        <w:autoSpaceDE w:val="0"/>
        <w:autoSpaceDN w:val="0"/>
        <w:adjustRightInd w:val="0"/>
        <w:ind w:firstLine="851"/>
        <w:rPr>
          <w:rFonts w:eastAsia="Times New Roman"/>
          <w:sz w:val="30"/>
          <w:szCs w:val="30"/>
          <w:lang w:eastAsia="ru-RU"/>
        </w:rPr>
      </w:pPr>
    </w:p>
    <w:p w:rsidR="00464330" w:rsidRDefault="00464330" w:rsidP="00EA521C">
      <w:pPr>
        <w:autoSpaceDE w:val="0"/>
        <w:autoSpaceDN w:val="0"/>
        <w:adjustRightInd w:val="0"/>
        <w:ind w:firstLine="851"/>
        <w:rPr>
          <w:rFonts w:eastAsia="Times New Roman"/>
          <w:sz w:val="30"/>
          <w:szCs w:val="30"/>
          <w:lang w:eastAsia="ru-RU"/>
        </w:rPr>
      </w:pPr>
    </w:p>
    <w:p w:rsidR="00464330" w:rsidRDefault="00464330" w:rsidP="00EA521C">
      <w:pPr>
        <w:autoSpaceDE w:val="0"/>
        <w:autoSpaceDN w:val="0"/>
        <w:adjustRightInd w:val="0"/>
        <w:ind w:firstLine="851"/>
        <w:rPr>
          <w:rFonts w:eastAsia="Times New Roman"/>
          <w:sz w:val="30"/>
          <w:szCs w:val="30"/>
          <w:lang w:eastAsia="ru-RU"/>
        </w:rPr>
      </w:pPr>
    </w:p>
    <w:p w:rsidR="00464330" w:rsidRDefault="00464330" w:rsidP="00EA521C">
      <w:pPr>
        <w:autoSpaceDE w:val="0"/>
        <w:autoSpaceDN w:val="0"/>
        <w:adjustRightInd w:val="0"/>
        <w:ind w:firstLine="851"/>
        <w:rPr>
          <w:rFonts w:eastAsia="Times New Roman"/>
          <w:sz w:val="30"/>
          <w:szCs w:val="30"/>
          <w:lang w:eastAsia="ru-RU"/>
        </w:rPr>
      </w:pPr>
    </w:p>
    <w:p w:rsidR="00464330" w:rsidRDefault="00464330" w:rsidP="00EA521C">
      <w:pPr>
        <w:autoSpaceDE w:val="0"/>
        <w:autoSpaceDN w:val="0"/>
        <w:adjustRightInd w:val="0"/>
        <w:ind w:firstLine="851"/>
        <w:rPr>
          <w:rFonts w:eastAsia="Times New Roman"/>
          <w:sz w:val="30"/>
          <w:szCs w:val="30"/>
          <w:lang w:eastAsia="ru-RU"/>
        </w:rPr>
      </w:pPr>
    </w:p>
    <w:p w:rsidR="00464330" w:rsidRDefault="00464330" w:rsidP="00EA521C">
      <w:pPr>
        <w:autoSpaceDE w:val="0"/>
        <w:autoSpaceDN w:val="0"/>
        <w:adjustRightInd w:val="0"/>
        <w:ind w:firstLine="851"/>
        <w:rPr>
          <w:rFonts w:eastAsia="Times New Roman"/>
          <w:sz w:val="30"/>
          <w:szCs w:val="30"/>
          <w:lang w:eastAsia="ru-RU"/>
        </w:rPr>
      </w:pPr>
    </w:p>
    <w:p w:rsidR="00464330" w:rsidRDefault="00464330" w:rsidP="00EA521C">
      <w:pPr>
        <w:autoSpaceDE w:val="0"/>
        <w:autoSpaceDN w:val="0"/>
        <w:adjustRightInd w:val="0"/>
        <w:ind w:firstLine="851"/>
        <w:rPr>
          <w:rFonts w:eastAsia="Times New Roman"/>
          <w:sz w:val="30"/>
          <w:szCs w:val="30"/>
          <w:lang w:eastAsia="ru-RU"/>
        </w:rPr>
      </w:pPr>
    </w:p>
    <w:p w:rsidR="00464330" w:rsidRDefault="00464330" w:rsidP="00EA521C">
      <w:pPr>
        <w:autoSpaceDE w:val="0"/>
        <w:autoSpaceDN w:val="0"/>
        <w:adjustRightInd w:val="0"/>
        <w:ind w:firstLine="851"/>
        <w:rPr>
          <w:rFonts w:eastAsia="Times New Roman"/>
          <w:sz w:val="30"/>
          <w:szCs w:val="30"/>
          <w:lang w:eastAsia="ru-RU"/>
        </w:rPr>
      </w:pPr>
    </w:p>
    <w:p w:rsidR="00464330" w:rsidRDefault="00464330" w:rsidP="00EA521C">
      <w:pPr>
        <w:autoSpaceDE w:val="0"/>
        <w:autoSpaceDN w:val="0"/>
        <w:adjustRightInd w:val="0"/>
        <w:ind w:firstLine="851"/>
        <w:rPr>
          <w:rFonts w:eastAsia="Times New Roman"/>
          <w:sz w:val="30"/>
          <w:szCs w:val="30"/>
          <w:lang w:eastAsia="ru-RU"/>
        </w:rPr>
      </w:pPr>
    </w:p>
    <w:p w:rsidR="00464330" w:rsidRDefault="00464330" w:rsidP="00EA521C">
      <w:pPr>
        <w:autoSpaceDE w:val="0"/>
        <w:autoSpaceDN w:val="0"/>
        <w:adjustRightInd w:val="0"/>
        <w:ind w:firstLine="851"/>
        <w:rPr>
          <w:rFonts w:eastAsia="Times New Roman"/>
          <w:sz w:val="30"/>
          <w:szCs w:val="30"/>
          <w:lang w:eastAsia="ru-RU"/>
        </w:rPr>
      </w:pPr>
    </w:p>
    <w:p w:rsidR="00464330" w:rsidRDefault="00464330" w:rsidP="00EA521C">
      <w:pPr>
        <w:autoSpaceDE w:val="0"/>
        <w:autoSpaceDN w:val="0"/>
        <w:adjustRightInd w:val="0"/>
        <w:ind w:firstLine="851"/>
        <w:rPr>
          <w:rFonts w:eastAsia="Times New Roman"/>
          <w:sz w:val="30"/>
          <w:szCs w:val="30"/>
          <w:lang w:eastAsia="ru-RU"/>
        </w:rPr>
      </w:pPr>
    </w:p>
    <w:p w:rsidR="00464330" w:rsidRDefault="00464330" w:rsidP="00EA521C">
      <w:pPr>
        <w:autoSpaceDE w:val="0"/>
        <w:autoSpaceDN w:val="0"/>
        <w:adjustRightInd w:val="0"/>
        <w:ind w:firstLine="851"/>
        <w:rPr>
          <w:rFonts w:eastAsia="Times New Roman"/>
          <w:sz w:val="30"/>
          <w:szCs w:val="30"/>
          <w:lang w:eastAsia="ru-RU"/>
        </w:rPr>
      </w:pPr>
    </w:p>
    <w:p w:rsidR="00464330" w:rsidRDefault="00464330" w:rsidP="00EA521C">
      <w:pPr>
        <w:autoSpaceDE w:val="0"/>
        <w:autoSpaceDN w:val="0"/>
        <w:adjustRightInd w:val="0"/>
        <w:ind w:firstLine="851"/>
        <w:rPr>
          <w:rFonts w:eastAsia="Times New Roman"/>
          <w:sz w:val="30"/>
          <w:szCs w:val="30"/>
          <w:lang w:eastAsia="ru-RU"/>
        </w:rPr>
      </w:pPr>
    </w:p>
    <w:sectPr w:rsidR="00464330" w:rsidSect="00306710">
      <w:headerReference w:type="default" r:id="rId14"/>
      <w:pgSz w:w="11906" w:h="16838" w:code="9"/>
      <w:pgMar w:top="680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834" w:rsidRDefault="00BD1834" w:rsidP="004C441E">
      <w:r>
        <w:separator/>
      </w:r>
    </w:p>
  </w:endnote>
  <w:endnote w:type="continuationSeparator" w:id="0">
    <w:p w:rsidR="00BD1834" w:rsidRDefault="00BD1834" w:rsidP="004C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834" w:rsidRDefault="00BD1834" w:rsidP="004C441E">
      <w:r>
        <w:separator/>
      </w:r>
    </w:p>
  </w:footnote>
  <w:footnote w:type="continuationSeparator" w:id="0">
    <w:p w:rsidR="00BD1834" w:rsidRDefault="00BD1834" w:rsidP="004C4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603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D5B1D" w:rsidRPr="004C441E" w:rsidRDefault="007D5B1D">
        <w:pPr>
          <w:pStyle w:val="a5"/>
          <w:jc w:val="center"/>
          <w:rPr>
            <w:sz w:val="28"/>
            <w:szCs w:val="28"/>
          </w:rPr>
        </w:pPr>
        <w:r w:rsidRPr="004C441E">
          <w:rPr>
            <w:sz w:val="28"/>
            <w:szCs w:val="28"/>
          </w:rPr>
          <w:fldChar w:fldCharType="begin"/>
        </w:r>
        <w:r w:rsidRPr="004C441E">
          <w:rPr>
            <w:sz w:val="28"/>
            <w:szCs w:val="28"/>
          </w:rPr>
          <w:instrText>PAGE   \* MERGEFORMAT</w:instrText>
        </w:r>
        <w:r w:rsidRPr="004C441E">
          <w:rPr>
            <w:sz w:val="28"/>
            <w:szCs w:val="28"/>
          </w:rPr>
          <w:fldChar w:fldCharType="separate"/>
        </w:r>
        <w:r w:rsidR="00A774F7">
          <w:rPr>
            <w:noProof/>
            <w:sz w:val="28"/>
            <w:szCs w:val="28"/>
          </w:rPr>
          <w:t>6</w:t>
        </w:r>
        <w:r w:rsidRPr="004C44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D5"/>
    <w:rsid w:val="00000D3F"/>
    <w:rsid w:val="00002661"/>
    <w:rsid w:val="000038C4"/>
    <w:rsid w:val="00005094"/>
    <w:rsid w:val="00005122"/>
    <w:rsid w:val="00005C66"/>
    <w:rsid w:val="000064AE"/>
    <w:rsid w:val="00006753"/>
    <w:rsid w:val="000068AA"/>
    <w:rsid w:val="00006900"/>
    <w:rsid w:val="00006DB6"/>
    <w:rsid w:val="0000783B"/>
    <w:rsid w:val="000105E9"/>
    <w:rsid w:val="0001127D"/>
    <w:rsid w:val="00011F36"/>
    <w:rsid w:val="00012E97"/>
    <w:rsid w:val="000159C6"/>
    <w:rsid w:val="00015B96"/>
    <w:rsid w:val="00016479"/>
    <w:rsid w:val="0002031F"/>
    <w:rsid w:val="000206E2"/>
    <w:rsid w:val="00021C26"/>
    <w:rsid w:val="000225E7"/>
    <w:rsid w:val="00022B6D"/>
    <w:rsid w:val="000238F7"/>
    <w:rsid w:val="00023C94"/>
    <w:rsid w:val="00023DE4"/>
    <w:rsid w:val="000241AB"/>
    <w:rsid w:val="000252C9"/>
    <w:rsid w:val="00025835"/>
    <w:rsid w:val="00026687"/>
    <w:rsid w:val="00026DA6"/>
    <w:rsid w:val="000279CB"/>
    <w:rsid w:val="0003030B"/>
    <w:rsid w:val="0003062E"/>
    <w:rsid w:val="00030F89"/>
    <w:rsid w:val="000329CB"/>
    <w:rsid w:val="000329D2"/>
    <w:rsid w:val="0003361A"/>
    <w:rsid w:val="0003372E"/>
    <w:rsid w:val="000338B8"/>
    <w:rsid w:val="000338C4"/>
    <w:rsid w:val="000352EB"/>
    <w:rsid w:val="0003569E"/>
    <w:rsid w:val="00036513"/>
    <w:rsid w:val="000376A7"/>
    <w:rsid w:val="00040888"/>
    <w:rsid w:val="00040AFE"/>
    <w:rsid w:val="00041E5C"/>
    <w:rsid w:val="00042CE6"/>
    <w:rsid w:val="00042E86"/>
    <w:rsid w:val="000440CF"/>
    <w:rsid w:val="00044B5E"/>
    <w:rsid w:val="00045A65"/>
    <w:rsid w:val="00045E94"/>
    <w:rsid w:val="000465EC"/>
    <w:rsid w:val="00050B69"/>
    <w:rsid w:val="00050CC8"/>
    <w:rsid w:val="00052039"/>
    <w:rsid w:val="00052CDF"/>
    <w:rsid w:val="00054D5D"/>
    <w:rsid w:val="0005640F"/>
    <w:rsid w:val="000568AC"/>
    <w:rsid w:val="00056F98"/>
    <w:rsid w:val="000611B1"/>
    <w:rsid w:val="000619DE"/>
    <w:rsid w:val="000628A9"/>
    <w:rsid w:val="00062954"/>
    <w:rsid w:val="00062A51"/>
    <w:rsid w:val="000633C1"/>
    <w:rsid w:val="00063B06"/>
    <w:rsid w:val="0006413A"/>
    <w:rsid w:val="00064ED9"/>
    <w:rsid w:val="000659A7"/>
    <w:rsid w:val="00065DDB"/>
    <w:rsid w:val="00065FF7"/>
    <w:rsid w:val="00066431"/>
    <w:rsid w:val="00066D36"/>
    <w:rsid w:val="00071084"/>
    <w:rsid w:val="000711DB"/>
    <w:rsid w:val="00072253"/>
    <w:rsid w:val="00074FD7"/>
    <w:rsid w:val="00075C8F"/>
    <w:rsid w:val="00077AC8"/>
    <w:rsid w:val="00080B82"/>
    <w:rsid w:val="00081655"/>
    <w:rsid w:val="00081A66"/>
    <w:rsid w:val="00082369"/>
    <w:rsid w:val="00083048"/>
    <w:rsid w:val="00083136"/>
    <w:rsid w:val="00085E44"/>
    <w:rsid w:val="000868E4"/>
    <w:rsid w:val="00087027"/>
    <w:rsid w:val="00087C6A"/>
    <w:rsid w:val="00087EA2"/>
    <w:rsid w:val="00090B62"/>
    <w:rsid w:val="0009114B"/>
    <w:rsid w:val="0009128A"/>
    <w:rsid w:val="000913C6"/>
    <w:rsid w:val="00091593"/>
    <w:rsid w:val="00091AB0"/>
    <w:rsid w:val="000934CD"/>
    <w:rsid w:val="00094E66"/>
    <w:rsid w:val="0009514B"/>
    <w:rsid w:val="00095301"/>
    <w:rsid w:val="000963E9"/>
    <w:rsid w:val="00096DCA"/>
    <w:rsid w:val="00097C6F"/>
    <w:rsid w:val="00097D10"/>
    <w:rsid w:val="000A04A3"/>
    <w:rsid w:val="000A0AD0"/>
    <w:rsid w:val="000A1AB3"/>
    <w:rsid w:val="000A29FE"/>
    <w:rsid w:val="000A39B7"/>
    <w:rsid w:val="000A42CC"/>
    <w:rsid w:val="000A556C"/>
    <w:rsid w:val="000A59BF"/>
    <w:rsid w:val="000A7B2C"/>
    <w:rsid w:val="000B011E"/>
    <w:rsid w:val="000B0A74"/>
    <w:rsid w:val="000B135C"/>
    <w:rsid w:val="000B1DE4"/>
    <w:rsid w:val="000B2C31"/>
    <w:rsid w:val="000B66E1"/>
    <w:rsid w:val="000B757C"/>
    <w:rsid w:val="000C04FD"/>
    <w:rsid w:val="000C084D"/>
    <w:rsid w:val="000C25C8"/>
    <w:rsid w:val="000C350F"/>
    <w:rsid w:val="000C3970"/>
    <w:rsid w:val="000C3A9A"/>
    <w:rsid w:val="000C476D"/>
    <w:rsid w:val="000C5E43"/>
    <w:rsid w:val="000C6755"/>
    <w:rsid w:val="000C73BB"/>
    <w:rsid w:val="000D0A51"/>
    <w:rsid w:val="000D0CD9"/>
    <w:rsid w:val="000D18FA"/>
    <w:rsid w:val="000D2707"/>
    <w:rsid w:val="000D2927"/>
    <w:rsid w:val="000D2CA7"/>
    <w:rsid w:val="000D357C"/>
    <w:rsid w:val="000D4B99"/>
    <w:rsid w:val="000D54A8"/>
    <w:rsid w:val="000D6351"/>
    <w:rsid w:val="000D7DB4"/>
    <w:rsid w:val="000E090F"/>
    <w:rsid w:val="000E0EFA"/>
    <w:rsid w:val="000E17B3"/>
    <w:rsid w:val="000E1918"/>
    <w:rsid w:val="000E4EB8"/>
    <w:rsid w:val="000E6AB8"/>
    <w:rsid w:val="000E7E24"/>
    <w:rsid w:val="000F02D3"/>
    <w:rsid w:val="000F2B91"/>
    <w:rsid w:val="000F2FF2"/>
    <w:rsid w:val="000F35FD"/>
    <w:rsid w:val="000F3A72"/>
    <w:rsid w:val="000F46E7"/>
    <w:rsid w:val="000F54E1"/>
    <w:rsid w:val="000F69EA"/>
    <w:rsid w:val="000F7CBA"/>
    <w:rsid w:val="00100868"/>
    <w:rsid w:val="00100A29"/>
    <w:rsid w:val="00101782"/>
    <w:rsid w:val="00101B32"/>
    <w:rsid w:val="00101C99"/>
    <w:rsid w:val="001023F4"/>
    <w:rsid w:val="001025E9"/>
    <w:rsid w:val="00102FC7"/>
    <w:rsid w:val="001030EF"/>
    <w:rsid w:val="001033F7"/>
    <w:rsid w:val="00103B82"/>
    <w:rsid w:val="00103EB6"/>
    <w:rsid w:val="0010438A"/>
    <w:rsid w:val="00104A9D"/>
    <w:rsid w:val="00105860"/>
    <w:rsid w:val="00106D07"/>
    <w:rsid w:val="001100F9"/>
    <w:rsid w:val="001106E9"/>
    <w:rsid w:val="00111EBA"/>
    <w:rsid w:val="00111F43"/>
    <w:rsid w:val="001123FB"/>
    <w:rsid w:val="00112F86"/>
    <w:rsid w:val="00113840"/>
    <w:rsid w:val="0011561E"/>
    <w:rsid w:val="00115D2C"/>
    <w:rsid w:val="00117DE7"/>
    <w:rsid w:val="00123954"/>
    <w:rsid w:val="00124210"/>
    <w:rsid w:val="00124359"/>
    <w:rsid w:val="00124AD8"/>
    <w:rsid w:val="001262F5"/>
    <w:rsid w:val="001265C5"/>
    <w:rsid w:val="0013028A"/>
    <w:rsid w:val="00132D0A"/>
    <w:rsid w:val="00132F71"/>
    <w:rsid w:val="00135871"/>
    <w:rsid w:val="001359C8"/>
    <w:rsid w:val="001366B7"/>
    <w:rsid w:val="001366E0"/>
    <w:rsid w:val="001372D5"/>
    <w:rsid w:val="00137A5F"/>
    <w:rsid w:val="001405F7"/>
    <w:rsid w:val="0014201C"/>
    <w:rsid w:val="00143129"/>
    <w:rsid w:val="00143A11"/>
    <w:rsid w:val="00143BC3"/>
    <w:rsid w:val="00144DE7"/>
    <w:rsid w:val="001455D9"/>
    <w:rsid w:val="00145E31"/>
    <w:rsid w:val="0014626B"/>
    <w:rsid w:val="00146B74"/>
    <w:rsid w:val="00146DE0"/>
    <w:rsid w:val="00147A82"/>
    <w:rsid w:val="0015101E"/>
    <w:rsid w:val="0015179A"/>
    <w:rsid w:val="00152342"/>
    <w:rsid w:val="00152FC5"/>
    <w:rsid w:val="00153101"/>
    <w:rsid w:val="00153406"/>
    <w:rsid w:val="00154CFD"/>
    <w:rsid w:val="0015571A"/>
    <w:rsid w:val="00155AA6"/>
    <w:rsid w:val="00156919"/>
    <w:rsid w:val="00157129"/>
    <w:rsid w:val="00157674"/>
    <w:rsid w:val="00157D54"/>
    <w:rsid w:val="001604A3"/>
    <w:rsid w:val="001604DB"/>
    <w:rsid w:val="00160527"/>
    <w:rsid w:val="0016385D"/>
    <w:rsid w:val="001640BC"/>
    <w:rsid w:val="00164551"/>
    <w:rsid w:val="00165371"/>
    <w:rsid w:val="00165808"/>
    <w:rsid w:val="00165C91"/>
    <w:rsid w:val="00166496"/>
    <w:rsid w:val="00166A1C"/>
    <w:rsid w:val="00171113"/>
    <w:rsid w:val="001711EF"/>
    <w:rsid w:val="001719BF"/>
    <w:rsid w:val="00172C78"/>
    <w:rsid w:val="001731A4"/>
    <w:rsid w:val="001739FC"/>
    <w:rsid w:val="00174D7E"/>
    <w:rsid w:val="0017608D"/>
    <w:rsid w:val="00180859"/>
    <w:rsid w:val="00180D70"/>
    <w:rsid w:val="00180E71"/>
    <w:rsid w:val="00181007"/>
    <w:rsid w:val="001813EA"/>
    <w:rsid w:val="001814FE"/>
    <w:rsid w:val="00181E7C"/>
    <w:rsid w:val="00182555"/>
    <w:rsid w:val="00183505"/>
    <w:rsid w:val="00183ECB"/>
    <w:rsid w:val="001854E8"/>
    <w:rsid w:val="00185863"/>
    <w:rsid w:val="00186CB3"/>
    <w:rsid w:val="001877F1"/>
    <w:rsid w:val="001910E9"/>
    <w:rsid w:val="00192991"/>
    <w:rsid w:val="00192A7E"/>
    <w:rsid w:val="00193388"/>
    <w:rsid w:val="001934BA"/>
    <w:rsid w:val="00193FB9"/>
    <w:rsid w:val="001943C0"/>
    <w:rsid w:val="00195897"/>
    <w:rsid w:val="00195FC1"/>
    <w:rsid w:val="001970EE"/>
    <w:rsid w:val="001A0EC5"/>
    <w:rsid w:val="001A0F72"/>
    <w:rsid w:val="001A14F9"/>
    <w:rsid w:val="001A3366"/>
    <w:rsid w:val="001A4B73"/>
    <w:rsid w:val="001A55C9"/>
    <w:rsid w:val="001A60F8"/>
    <w:rsid w:val="001A636B"/>
    <w:rsid w:val="001B0B5D"/>
    <w:rsid w:val="001B1B56"/>
    <w:rsid w:val="001B1FF5"/>
    <w:rsid w:val="001B23CF"/>
    <w:rsid w:val="001B2639"/>
    <w:rsid w:val="001B3B03"/>
    <w:rsid w:val="001B3B53"/>
    <w:rsid w:val="001B443C"/>
    <w:rsid w:val="001B4DDE"/>
    <w:rsid w:val="001B6F26"/>
    <w:rsid w:val="001B72D4"/>
    <w:rsid w:val="001B7DEE"/>
    <w:rsid w:val="001C09E1"/>
    <w:rsid w:val="001C0E94"/>
    <w:rsid w:val="001C1310"/>
    <w:rsid w:val="001C1E60"/>
    <w:rsid w:val="001C2D7D"/>
    <w:rsid w:val="001C3483"/>
    <w:rsid w:val="001C449F"/>
    <w:rsid w:val="001C49C9"/>
    <w:rsid w:val="001C508B"/>
    <w:rsid w:val="001C67AA"/>
    <w:rsid w:val="001C7631"/>
    <w:rsid w:val="001D04C0"/>
    <w:rsid w:val="001D1137"/>
    <w:rsid w:val="001D1553"/>
    <w:rsid w:val="001D17F3"/>
    <w:rsid w:val="001D1BEF"/>
    <w:rsid w:val="001D20C9"/>
    <w:rsid w:val="001D2BA1"/>
    <w:rsid w:val="001D3DEC"/>
    <w:rsid w:val="001D6762"/>
    <w:rsid w:val="001E07AF"/>
    <w:rsid w:val="001E0A38"/>
    <w:rsid w:val="001E0B54"/>
    <w:rsid w:val="001E0D9B"/>
    <w:rsid w:val="001E1690"/>
    <w:rsid w:val="001E25D9"/>
    <w:rsid w:val="001E289C"/>
    <w:rsid w:val="001E2FBD"/>
    <w:rsid w:val="001E4191"/>
    <w:rsid w:val="001E4196"/>
    <w:rsid w:val="001E41F7"/>
    <w:rsid w:val="001E4A51"/>
    <w:rsid w:val="001E4C24"/>
    <w:rsid w:val="001E4F79"/>
    <w:rsid w:val="001E5851"/>
    <w:rsid w:val="001E6A37"/>
    <w:rsid w:val="001E6AE3"/>
    <w:rsid w:val="001F0479"/>
    <w:rsid w:val="001F227C"/>
    <w:rsid w:val="001F303D"/>
    <w:rsid w:val="001F3B96"/>
    <w:rsid w:val="001F44CD"/>
    <w:rsid w:val="001F62BA"/>
    <w:rsid w:val="001F62E5"/>
    <w:rsid w:val="001F72E8"/>
    <w:rsid w:val="001F7381"/>
    <w:rsid w:val="00200551"/>
    <w:rsid w:val="002013E4"/>
    <w:rsid w:val="00204310"/>
    <w:rsid w:val="00204F60"/>
    <w:rsid w:val="002071B6"/>
    <w:rsid w:val="00207D4C"/>
    <w:rsid w:val="00210130"/>
    <w:rsid w:val="00210279"/>
    <w:rsid w:val="00211425"/>
    <w:rsid w:val="0021162D"/>
    <w:rsid w:val="00211C80"/>
    <w:rsid w:val="002144D8"/>
    <w:rsid w:val="00214897"/>
    <w:rsid w:val="00220577"/>
    <w:rsid w:val="00220837"/>
    <w:rsid w:val="00220D8D"/>
    <w:rsid w:val="0022175B"/>
    <w:rsid w:val="00222551"/>
    <w:rsid w:val="002227C5"/>
    <w:rsid w:val="00222F88"/>
    <w:rsid w:val="0022678D"/>
    <w:rsid w:val="00231510"/>
    <w:rsid w:val="002316F4"/>
    <w:rsid w:val="00231DDC"/>
    <w:rsid w:val="00231EB1"/>
    <w:rsid w:val="00232869"/>
    <w:rsid w:val="0023318C"/>
    <w:rsid w:val="00234969"/>
    <w:rsid w:val="00235DAE"/>
    <w:rsid w:val="00236276"/>
    <w:rsid w:val="002362B2"/>
    <w:rsid w:val="00236409"/>
    <w:rsid w:val="00237184"/>
    <w:rsid w:val="00237D5C"/>
    <w:rsid w:val="00240C2D"/>
    <w:rsid w:val="00242129"/>
    <w:rsid w:val="00242955"/>
    <w:rsid w:val="00243090"/>
    <w:rsid w:val="0024370C"/>
    <w:rsid w:val="0024398E"/>
    <w:rsid w:val="00244B55"/>
    <w:rsid w:val="00244B5F"/>
    <w:rsid w:val="00244BA8"/>
    <w:rsid w:val="00244E6A"/>
    <w:rsid w:val="00245091"/>
    <w:rsid w:val="00246134"/>
    <w:rsid w:val="00247014"/>
    <w:rsid w:val="00247537"/>
    <w:rsid w:val="002478F5"/>
    <w:rsid w:val="00247AC4"/>
    <w:rsid w:val="0025012A"/>
    <w:rsid w:val="00250DB6"/>
    <w:rsid w:val="002523CE"/>
    <w:rsid w:val="00252AFD"/>
    <w:rsid w:val="00253DAB"/>
    <w:rsid w:val="00253DB8"/>
    <w:rsid w:val="002543C6"/>
    <w:rsid w:val="00254618"/>
    <w:rsid w:val="00255382"/>
    <w:rsid w:val="0025564E"/>
    <w:rsid w:val="0025724C"/>
    <w:rsid w:val="00257A70"/>
    <w:rsid w:val="00257B2F"/>
    <w:rsid w:val="00257B6D"/>
    <w:rsid w:val="0026027C"/>
    <w:rsid w:val="00261216"/>
    <w:rsid w:val="0026144C"/>
    <w:rsid w:val="002615C6"/>
    <w:rsid w:val="00265DEC"/>
    <w:rsid w:val="002673A6"/>
    <w:rsid w:val="002678F1"/>
    <w:rsid w:val="002711F9"/>
    <w:rsid w:val="00271433"/>
    <w:rsid w:val="00271696"/>
    <w:rsid w:val="002716CE"/>
    <w:rsid w:val="00272564"/>
    <w:rsid w:val="0027267E"/>
    <w:rsid w:val="002727B6"/>
    <w:rsid w:val="00272D9F"/>
    <w:rsid w:val="002748C9"/>
    <w:rsid w:val="0027549D"/>
    <w:rsid w:val="002762ED"/>
    <w:rsid w:val="00277F7E"/>
    <w:rsid w:val="00280D76"/>
    <w:rsid w:val="002813C1"/>
    <w:rsid w:val="00281731"/>
    <w:rsid w:val="00282A29"/>
    <w:rsid w:val="00284128"/>
    <w:rsid w:val="002841FF"/>
    <w:rsid w:val="00284DBD"/>
    <w:rsid w:val="00285500"/>
    <w:rsid w:val="00285740"/>
    <w:rsid w:val="002858BF"/>
    <w:rsid w:val="002866FC"/>
    <w:rsid w:val="00287E9E"/>
    <w:rsid w:val="00287ED3"/>
    <w:rsid w:val="002909A4"/>
    <w:rsid w:val="002917A9"/>
    <w:rsid w:val="00292714"/>
    <w:rsid w:val="0029310F"/>
    <w:rsid w:val="00293B27"/>
    <w:rsid w:val="00293C55"/>
    <w:rsid w:val="00293FE2"/>
    <w:rsid w:val="00294C6D"/>
    <w:rsid w:val="00294D46"/>
    <w:rsid w:val="00295824"/>
    <w:rsid w:val="002958A8"/>
    <w:rsid w:val="0029595A"/>
    <w:rsid w:val="00296776"/>
    <w:rsid w:val="002A031C"/>
    <w:rsid w:val="002A06BF"/>
    <w:rsid w:val="002A122C"/>
    <w:rsid w:val="002A2850"/>
    <w:rsid w:val="002A2C8C"/>
    <w:rsid w:val="002A324E"/>
    <w:rsid w:val="002A3A38"/>
    <w:rsid w:val="002A5A51"/>
    <w:rsid w:val="002A5A95"/>
    <w:rsid w:val="002A730B"/>
    <w:rsid w:val="002A7537"/>
    <w:rsid w:val="002A79BD"/>
    <w:rsid w:val="002B1D89"/>
    <w:rsid w:val="002B22EB"/>
    <w:rsid w:val="002B3BB6"/>
    <w:rsid w:val="002B501C"/>
    <w:rsid w:val="002B53AF"/>
    <w:rsid w:val="002B602A"/>
    <w:rsid w:val="002B62C3"/>
    <w:rsid w:val="002B652A"/>
    <w:rsid w:val="002B6626"/>
    <w:rsid w:val="002B6A8D"/>
    <w:rsid w:val="002B6D40"/>
    <w:rsid w:val="002C0971"/>
    <w:rsid w:val="002C11A9"/>
    <w:rsid w:val="002C1847"/>
    <w:rsid w:val="002C2309"/>
    <w:rsid w:val="002C2460"/>
    <w:rsid w:val="002C2F31"/>
    <w:rsid w:val="002C3306"/>
    <w:rsid w:val="002C33B7"/>
    <w:rsid w:val="002C33F0"/>
    <w:rsid w:val="002C4919"/>
    <w:rsid w:val="002C4FAC"/>
    <w:rsid w:val="002C50D4"/>
    <w:rsid w:val="002D1345"/>
    <w:rsid w:val="002D1407"/>
    <w:rsid w:val="002D18F9"/>
    <w:rsid w:val="002D22DF"/>
    <w:rsid w:val="002D25C1"/>
    <w:rsid w:val="002D2675"/>
    <w:rsid w:val="002D3640"/>
    <w:rsid w:val="002D469B"/>
    <w:rsid w:val="002D54BD"/>
    <w:rsid w:val="002D5D2A"/>
    <w:rsid w:val="002D78A4"/>
    <w:rsid w:val="002D7BE8"/>
    <w:rsid w:val="002D7E7C"/>
    <w:rsid w:val="002E07D3"/>
    <w:rsid w:val="002E12C6"/>
    <w:rsid w:val="002E1987"/>
    <w:rsid w:val="002E2003"/>
    <w:rsid w:val="002E2ED0"/>
    <w:rsid w:val="002E3CC4"/>
    <w:rsid w:val="002E67FC"/>
    <w:rsid w:val="002F1B33"/>
    <w:rsid w:val="002F2D2B"/>
    <w:rsid w:val="002F30EC"/>
    <w:rsid w:val="002F3BD3"/>
    <w:rsid w:val="002F43B4"/>
    <w:rsid w:val="002F519E"/>
    <w:rsid w:val="002F5602"/>
    <w:rsid w:val="002F5CC2"/>
    <w:rsid w:val="002F62EE"/>
    <w:rsid w:val="002F6565"/>
    <w:rsid w:val="002F6758"/>
    <w:rsid w:val="002F6876"/>
    <w:rsid w:val="002F6942"/>
    <w:rsid w:val="002F6B03"/>
    <w:rsid w:val="002F6BE5"/>
    <w:rsid w:val="003005C1"/>
    <w:rsid w:val="00301811"/>
    <w:rsid w:val="0030204F"/>
    <w:rsid w:val="003020CA"/>
    <w:rsid w:val="00302433"/>
    <w:rsid w:val="00303243"/>
    <w:rsid w:val="00303319"/>
    <w:rsid w:val="003039E5"/>
    <w:rsid w:val="003052DD"/>
    <w:rsid w:val="00305522"/>
    <w:rsid w:val="00305B6D"/>
    <w:rsid w:val="00305BAA"/>
    <w:rsid w:val="00306710"/>
    <w:rsid w:val="00306E0B"/>
    <w:rsid w:val="00306E2A"/>
    <w:rsid w:val="00307FC0"/>
    <w:rsid w:val="00310269"/>
    <w:rsid w:val="00310653"/>
    <w:rsid w:val="00310B89"/>
    <w:rsid w:val="003118D2"/>
    <w:rsid w:val="00311F21"/>
    <w:rsid w:val="0031486B"/>
    <w:rsid w:val="0031518F"/>
    <w:rsid w:val="00315E09"/>
    <w:rsid w:val="003171ED"/>
    <w:rsid w:val="00322985"/>
    <w:rsid w:val="0032442C"/>
    <w:rsid w:val="003248AD"/>
    <w:rsid w:val="003248B4"/>
    <w:rsid w:val="00325E6B"/>
    <w:rsid w:val="003278F8"/>
    <w:rsid w:val="0033072E"/>
    <w:rsid w:val="00331372"/>
    <w:rsid w:val="00331406"/>
    <w:rsid w:val="00331E68"/>
    <w:rsid w:val="003326C7"/>
    <w:rsid w:val="00332F4E"/>
    <w:rsid w:val="00333111"/>
    <w:rsid w:val="003331F3"/>
    <w:rsid w:val="003344CE"/>
    <w:rsid w:val="003348F8"/>
    <w:rsid w:val="00334B05"/>
    <w:rsid w:val="003353BD"/>
    <w:rsid w:val="003356BB"/>
    <w:rsid w:val="00335C10"/>
    <w:rsid w:val="00336013"/>
    <w:rsid w:val="00336083"/>
    <w:rsid w:val="003361A8"/>
    <w:rsid w:val="0033633E"/>
    <w:rsid w:val="003367A8"/>
    <w:rsid w:val="003378E7"/>
    <w:rsid w:val="00340A40"/>
    <w:rsid w:val="00340D19"/>
    <w:rsid w:val="00343E8F"/>
    <w:rsid w:val="003440E9"/>
    <w:rsid w:val="00344499"/>
    <w:rsid w:val="0034531D"/>
    <w:rsid w:val="00345470"/>
    <w:rsid w:val="003456D8"/>
    <w:rsid w:val="003457DE"/>
    <w:rsid w:val="00346772"/>
    <w:rsid w:val="0034764C"/>
    <w:rsid w:val="003478C5"/>
    <w:rsid w:val="00350111"/>
    <w:rsid w:val="003516F0"/>
    <w:rsid w:val="003521AE"/>
    <w:rsid w:val="00352372"/>
    <w:rsid w:val="00352E93"/>
    <w:rsid w:val="00353A54"/>
    <w:rsid w:val="00353DB8"/>
    <w:rsid w:val="00354047"/>
    <w:rsid w:val="0035615A"/>
    <w:rsid w:val="00357904"/>
    <w:rsid w:val="00361299"/>
    <w:rsid w:val="00362CD6"/>
    <w:rsid w:val="003641E3"/>
    <w:rsid w:val="003669E2"/>
    <w:rsid w:val="0037094F"/>
    <w:rsid w:val="003709A7"/>
    <w:rsid w:val="0037296B"/>
    <w:rsid w:val="00372B51"/>
    <w:rsid w:val="003730A8"/>
    <w:rsid w:val="00373E20"/>
    <w:rsid w:val="00375230"/>
    <w:rsid w:val="00375B78"/>
    <w:rsid w:val="00375D56"/>
    <w:rsid w:val="003761EE"/>
    <w:rsid w:val="00376CE6"/>
    <w:rsid w:val="00376F5D"/>
    <w:rsid w:val="003808E6"/>
    <w:rsid w:val="003808F3"/>
    <w:rsid w:val="00381F4A"/>
    <w:rsid w:val="003828F8"/>
    <w:rsid w:val="0038307E"/>
    <w:rsid w:val="00384B00"/>
    <w:rsid w:val="00385771"/>
    <w:rsid w:val="00385C66"/>
    <w:rsid w:val="00387570"/>
    <w:rsid w:val="0039003A"/>
    <w:rsid w:val="00390AFF"/>
    <w:rsid w:val="003918E6"/>
    <w:rsid w:val="003923DF"/>
    <w:rsid w:val="003938A1"/>
    <w:rsid w:val="00394111"/>
    <w:rsid w:val="003960B8"/>
    <w:rsid w:val="0039714E"/>
    <w:rsid w:val="003979DE"/>
    <w:rsid w:val="003A11F2"/>
    <w:rsid w:val="003A2C39"/>
    <w:rsid w:val="003A34F6"/>
    <w:rsid w:val="003A484C"/>
    <w:rsid w:val="003A5D76"/>
    <w:rsid w:val="003A5EE3"/>
    <w:rsid w:val="003A5EFF"/>
    <w:rsid w:val="003B07F1"/>
    <w:rsid w:val="003B117D"/>
    <w:rsid w:val="003B149C"/>
    <w:rsid w:val="003B26B3"/>
    <w:rsid w:val="003B2AFB"/>
    <w:rsid w:val="003B39C8"/>
    <w:rsid w:val="003B3D13"/>
    <w:rsid w:val="003B4D3E"/>
    <w:rsid w:val="003B4E75"/>
    <w:rsid w:val="003B546B"/>
    <w:rsid w:val="003B611E"/>
    <w:rsid w:val="003B6975"/>
    <w:rsid w:val="003C1D3F"/>
    <w:rsid w:val="003C3D6D"/>
    <w:rsid w:val="003C4264"/>
    <w:rsid w:val="003C55D4"/>
    <w:rsid w:val="003C56F7"/>
    <w:rsid w:val="003C58C3"/>
    <w:rsid w:val="003C5B68"/>
    <w:rsid w:val="003C5D62"/>
    <w:rsid w:val="003C61B1"/>
    <w:rsid w:val="003C7596"/>
    <w:rsid w:val="003C7E59"/>
    <w:rsid w:val="003D0644"/>
    <w:rsid w:val="003D0945"/>
    <w:rsid w:val="003D1BEB"/>
    <w:rsid w:val="003D2772"/>
    <w:rsid w:val="003D32B1"/>
    <w:rsid w:val="003D4897"/>
    <w:rsid w:val="003D61B2"/>
    <w:rsid w:val="003D72CE"/>
    <w:rsid w:val="003E0384"/>
    <w:rsid w:val="003E1B2F"/>
    <w:rsid w:val="003E1D39"/>
    <w:rsid w:val="003E2C62"/>
    <w:rsid w:val="003E30E5"/>
    <w:rsid w:val="003E3121"/>
    <w:rsid w:val="003E3A6A"/>
    <w:rsid w:val="003E52C1"/>
    <w:rsid w:val="003E5750"/>
    <w:rsid w:val="003E64B1"/>
    <w:rsid w:val="003E745E"/>
    <w:rsid w:val="003E7809"/>
    <w:rsid w:val="003F06D0"/>
    <w:rsid w:val="003F1F16"/>
    <w:rsid w:val="003F287B"/>
    <w:rsid w:val="003F2C68"/>
    <w:rsid w:val="003F4D14"/>
    <w:rsid w:val="003F59BF"/>
    <w:rsid w:val="003F6321"/>
    <w:rsid w:val="003F6B67"/>
    <w:rsid w:val="003F7E76"/>
    <w:rsid w:val="00400A07"/>
    <w:rsid w:val="0040185C"/>
    <w:rsid w:val="004024E1"/>
    <w:rsid w:val="0040281F"/>
    <w:rsid w:val="004037F7"/>
    <w:rsid w:val="0040387B"/>
    <w:rsid w:val="00403A29"/>
    <w:rsid w:val="0040437E"/>
    <w:rsid w:val="004056AE"/>
    <w:rsid w:val="00405FB6"/>
    <w:rsid w:val="00406782"/>
    <w:rsid w:val="004103EE"/>
    <w:rsid w:val="00410E1C"/>
    <w:rsid w:val="004112D9"/>
    <w:rsid w:val="00412AD3"/>
    <w:rsid w:val="00413131"/>
    <w:rsid w:val="00413846"/>
    <w:rsid w:val="00413A1E"/>
    <w:rsid w:val="00413C77"/>
    <w:rsid w:val="0041464F"/>
    <w:rsid w:val="00416534"/>
    <w:rsid w:val="00417685"/>
    <w:rsid w:val="00417D95"/>
    <w:rsid w:val="00417FDE"/>
    <w:rsid w:val="004209DF"/>
    <w:rsid w:val="0042127F"/>
    <w:rsid w:val="00422751"/>
    <w:rsid w:val="00423345"/>
    <w:rsid w:val="004237D7"/>
    <w:rsid w:val="004251BB"/>
    <w:rsid w:val="004253DD"/>
    <w:rsid w:val="00426E7F"/>
    <w:rsid w:val="0043028A"/>
    <w:rsid w:val="00430FED"/>
    <w:rsid w:val="00431462"/>
    <w:rsid w:val="004331D3"/>
    <w:rsid w:val="00433C2E"/>
    <w:rsid w:val="0043553C"/>
    <w:rsid w:val="00435552"/>
    <w:rsid w:val="00435BC4"/>
    <w:rsid w:val="004405C3"/>
    <w:rsid w:val="00440E08"/>
    <w:rsid w:val="00441078"/>
    <w:rsid w:val="00441789"/>
    <w:rsid w:val="004428CE"/>
    <w:rsid w:val="00442FEE"/>
    <w:rsid w:val="0044387F"/>
    <w:rsid w:val="00443949"/>
    <w:rsid w:val="0044512C"/>
    <w:rsid w:val="0044729C"/>
    <w:rsid w:val="004511A7"/>
    <w:rsid w:val="004513A9"/>
    <w:rsid w:val="00451785"/>
    <w:rsid w:val="00451B9C"/>
    <w:rsid w:val="00452B3F"/>
    <w:rsid w:val="00453DD6"/>
    <w:rsid w:val="00454EFC"/>
    <w:rsid w:val="00455420"/>
    <w:rsid w:val="00455BDD"/>
    <w:rsid w:val="00456ADF"/>
    <w:rsid w:val="00456DE3"/>
    <w:rsid w:val="00461ED7"/>
    <w:rsid w:val="004621CC"/>
    <w:rsid w:val="004621F3"/>
    <w:rsid w:val="004638F0"/>
    <w:rsid w:val="00464330"/>
    <w:rsid w:val="00466851"/>
    <w:rsid w:val="004676DF"/>
    <w:rsid w:val="00470876"/>
    <w:rsid w:val="004718C1"/>
    <w:rsid w:val="00471EB7"/>
    <w:rsid w:val="00475BED"/>
    <w:rsid w:val="004764BC"/>
    <w:rsid w:val="00476BD3"/>
    <w:rsid w:val="004776B2"/>
    <w:rsid w:val="00477B3D"/>
    <w:rsid w:val="0048030F"/>
    <w:rsid w:val="00480946"/>
    <w:rsid w:val="00481378"/>
    <w:rsid w:val="004822D4"/>
    <w:rsid w:val="004823D7"/>
    <w:rsid w:val="00483BED"/>
    <w:rsid w:val="00483BF6"/>
    <w:rsid w:val="00486E2F"/>
    <w:rsid w:val="0049068E"/>
    <w:rsid w:val="00491BF2"/>
    <w:rsid w:val="0049278F"/>
    <w:rsid w:val="0049344E"/>
    <w:rsid w:val="00494928"/>
    <w:rsid w:val="004960D1"/>
    <w:rsid w:val="004968A7"/>
    <w:rsid w:val="004973E7"/>
    <w:rsid w:val="00497781"/>
    <w:rsid w:val="00497890"/>
    <w:rsid w:val="004A020E"/>
    <w:rsid w:val="004A10D2"/>
    <w:rsid w:val="004A12CD"/>
    <w:rsid w:val="004A1F49"/>
    <w:rsid w:val="004A2241"/>
    <w:rsid w:val="004A33F0"/>
    <w:rsid w:val="004A4031"/>
    <w:rsid w:val="004A44D0"/>
    <w:rsid w:val="004A4D0B"/>
    <w:rsid w:val="004A4D73"/>
    <w:rsid w:val="004A522E"/>
    <w:rsid w:val="004A536F"/>
    <w:rsid w:val="004A541A"/>
    <w:rsid w:val="004A5614"/>
    <w:rsid w:val="004A585D"/>
    <w:rsid w:val="004A5F44"/>
    <w:rsid w:val="004A6C71"/>
    <w:rsid w:val="004A6DE9"/>
    <w:rsid w:val="004B044B"/>
    <w:rsid w:val="004B2394"/>
    <w:rsid w:val="004B4040"/>
    <w:rsid w:val="004B4737"/>
    <w:rsid w:val="004B47D9"/>
    <w:rsid w:val="004B482A"/>
    <w:rsid w:val="004B51B0"/>
    <w:rsid w:val="004B5297"/>
    <w:rsid w:val="004B5577"/>
    <w:rsid w:val="004C1B33"/>
    <w:rsid w:val="004C1B36"/>
    <w:rsid w:val="004C1F61"/>
    <w:rsid w:val="004C1FF1"/>
    <w:rsid w:val="004C441E"/>
    <w:rsid w:val="004C520F"/>
    <w:rsid w:val="004C57DF"/>
    <w:rsid w:val="004C591A"/>
    <w:rsid w:val="004D0458"/>
    <w:rsid w:val="004D18EC"/>
    <w:rsid w:val="004D20CA"/>
    <w:rsid w:val="004D2E29"/>
    <w:rsid w:val="004D2F01"/>
    <w:rsid w:val="004D33A6"/>
    <w:rsid w:val="004D3A87"/>
    <w:rsid w:val="004D3E56"/>
    <w:rsid w:val="004D65A1"/>
    <w:rsid w:val="004D6858"/>
    <w:rsid w:val="004D6908"/>
    <w:rsid w:val="004D6956"/>
    <w:rsid w:val="004D69F7"/>
    <w:rsid w:val="004E1D23"/>
    <w:rsid w:val="004E27C7"/>
    <w:rsid w:val="004E44CB"/>
    <w:rsid w:val="004E47B0"/>
    <w:rsid w:val="004E4899"/>
    <w:rsid w:val="004E4E31"/>
    <w:rsid w:val="004E51D9"/>
    <w:rsid w:val="004E67CF"/>
    <w:rsid w:val="004F05A9"/>
    <w:rsid w:val="004F2F0D"/>
    <w:rsid w:val="004F45E7"/>
    <w:rsid w:val="004F45FF"/>
    <w:rsid w:val="004F52CB"/>
    <w:rsid w:val="004F5DB6"/>
    <w:rsid w:val="004F63A1"/>
    <w:rsid w:val="004F63FB"/>
    <w:rsid w:val="004F63FD"/>
    <w:rsid w:val="004F720B"/>
    <w:rsid w:val="004F78B0"/>
    <w:rsid w:val="004F7BEF"/>
    <w:rsid w:val="004F7CAF"/>
    <w:rsid w:val="0050047C"/>
    <w:rsid w:val="0050077A"/>
    <w:rsid w:val="0050094A"/>
    <w:rsid w:val="0050133B"/>
    <w:rsid w:val="00501A28"/>
    <w:rsid w:val="00501AAB"/>
    <w:rsid w:val="005023F7"/>
    <w:rsid w:val="00503A48"/>
    <w:rsid w:val="00504E21"/>
    <w:rsid w:val="00505062"/>
    <w:rsid w:val="0050607A"/>
    <w:rsid w:val="00507696"/>
    <w:rsid w:val="0050788A"/>
    <w:rsid w:val="00507A6D"/>
    <w:rsid w:val="0051067E"/>
    <w:rsid w:val="00510C36"/>
    <w:rsid w:val="005125FF"/>
    <w:rsid w:val="0051279D"/>
    <w:rsid w:val="00513B4A"/>
    <w:rsid w:val="00513BC5"/>
    <w:rsid w:val="00513D15"/>
    <w:rsid w:val="005144F1"/>
    <w:rsid w:val="0051527C"/>
    <w:rsid w:val="00515CE7"/>
    <w:rsid w:val="005161D4"/>
    <w:rsid w:val="00517025"/>
    <w:rsid w:val="0051719E"/>
    <w:rsid w:val="005172EE"/>
    <w:rsid w:val="005175E2"/>
    <w:rsid w:val="00517CD3"/>
    <w:rsid w:val="0052157A"/>
    <w:rsid w:val="00522F51"/>
    <w:rsid w:val="00523294"/>
    <w:rsid w:val="00523A34"/>
    <w:rsid w:val="005241F9"/>
    <w:rsid w:val="005245FD"/>
    <w:rsid w:val="00524B45"/>
    <w:rsid w:val="00524E1D"/>
    <w:rsid w:val="0052508D"/>
    <w:rsid w:val="00525104"/>
    <w:rsid w:val="00525184"/>
    <w:rsid w:val="0052562B"/>
    <w:rsid w:val="005259BD"/>
    <w:rsid w:val="005275A3"/>
    <w:rsid w:val="0053003D"/>
    <w:rsid w:val="0053067E"/>
    <w:rsid w:val="00530DDD"/>
    <w:rsid w:val="00530FF6"/>
    <w:rsid w:val="0053129A"/>
    <w:rsid w:val="0053172E"/>
    <w:rsid w:val="00533409"/>
    <w:rsid w:val="00533FCB"/>
    <w:rsid w:val="005340F1"/>
    <w:rsid w:val="00534B05"/>
    <w:rsid w:val="005352FF"/>
    <w:rsid w:val="005366BC"/>
    <w:rsid w:val="00537E80"/>
    <w:rsid w:val="0054023D"/>
    <w:rsid w:val="005403C8"/>
    <w:rsid w:val="00540B46"/>
    <w:rsid w:val="00541342"/>
    <w:rsid w:val="005415C6"/>
    <w:rsid w:val="00541F86"/>
    <w:rsid w:val="0054375A"/>
    <w:rsid w:val="00545C67"/>
    <w:rsid w:val="00545D0A"/>
    <w:rsid w:val="0054645A"/>
    <w:rsid w:val="0054699C"/>
    <w:rsid w:val="00546AFE"/>
    <w:rsid w:val="00546C46"/>
    <w:rsid w:val="00550616"/>
    <w:rsid w:val="00551DDD"/>
    <w:rsid w:val="00553941"/>
    <w:rsid w:val="00553CE3"/>
    <w:rsid w:val="00560060"/>
    <w:rsid w:val="00560778"/>
    <w:rsid w:val="00560A7D"/>
    <w:rsid w:val="005614F9"/>
    <w:rsid w:val="00561BD0"/>
    <w:rsid w:val="0056261C"/>
    <w:rsid w:val="00563EED"/>
    <w:rsid w:val="00564398"/>
    <w:rsid w:val="00566FEE"/>
    <w:rsid w:val="00567434"/>
    <w:rsid w:val="00567CFC"/>
    <w:rsid w:val="00570A2D"/>
    <w:rsid w:val="00570AA1"/>
    <w:rsid w:val="00571701"/>
    <w:rsid w:val="00571B9F"/>
    <w:rsid w:val="00571FC7"/>
    <w:rsid w:val="005739BD"/>
    <w:rsid w:val="00574D67"/>
    <w:rsid w:val="00575138"/>
    <w:rsid w:val="005761FC"/>
    <w:rsid w:val="005768E5"/>
    <w:rsid w:val="005779F2"/>
    <w:rsid w:val="00583DE2"/>
    <w:rsid w:val="00583E13"/>
    <w:rsid w:val="0058552A"/>
    <w:rsid w:val="00585596"/>
    <w:rsid w:val="00585E81"/>
    <w:rsid w:val="00586173"/>
    <w:rsid w:val="00591632"/>
    <w:rsid w:val="0059181B"/>
    <w:rsid w:val="00591E65"/>
    <w:rsid w:val="005929AB"/>
    <w:rsid w:val="005948F1"/>
    <w:rsid w:val="00596E90"/>
    <w:rsid w:val="00596F00"/>
    <w:rsid w:val="00597461"/>
    <w:rsid w:val="005A1775"/>
    <w:rsid w:val="005A21AA"/>
    <w:rsid w:val="005A25DB"/>
    <w:rsid w:val="005A32F0"/>
    <w:rsid w:val="005A465D"/>
    <w:rsid w:val="005A529C"/>
    <w:rsid w:val="005A659C"/>
    <w:rsid w:val="005A6760"/>
    <w:rsid w:val="005A6E0B"/>
    <w:rsid w:val="005A6FD0"/>
    <w:rsid w:val="005A7756"/>
    <w:rsid w:val="005A78D5"/>
    <w:rsid w:val="005A7F84"/>
    <w:rsid w:val="005B02DD"/>
    <w:rsid w:val="005B033F"/>
    <w:rsid w:val="005B11F5"/>
    <w:rsid w:val="005B19B8"/>
    <w:rsid w:val="005B2A6B"/>
    <w:rsid w:val="005B2DE6"/>
    <w:rsid w:val="005B317D"/>
    <w:rsid w:val="005B4268"/>
    <w:rsid w:val="005B457C"/>
    <w:rsid w:val="005B4E8E"/>
    <w:rsid w:val="005B5163"/>
    <w:rsid w:val="005B5A41"/>
    <w:rsid w:val="005B69FB"/>
    <w:rsid w:val="005B7C63"/>
    <w:rsid w:val="005C00D9"/>
    <w:rsid w:val="005C0C97"/>
    <w:rsid w:val="005C186B"/>
    <w:rsid w:val="005C196A"/>
    <w:rsid w:val="005C1A84"/>
    <w:rsid w:val="005C1D02"/>
    <w:rsid w:val="005C214E"/>
    <w:rsid w:val="005C2781"/>
    <w:rsid w:val="005C3FC9"/>
    <w:rsid w:val="005C4FC5"/>
    <w:rsid w:val="005C6B53"/>
    <w:rsid w:val="005C6F62"/>
    <w:rsid w:val="005C760E"/>
    <w:rsid w:val="005C7932"/>
    <w:rsid w:val="005D003B"/>
    <w:rsid w:val="005D0B77"/>
    <w:rsid w:val="005D241D"/>
    <w:rsid w:val="005D2D12"/>
    <w:rsid w:val="005D2E5A"/>
    <w:rsid w:val="005D3231"/>
    <w:rsid w:val="005D3A25"/>
    <w:rsid w:val="005D4222"/>
    <w:rsid w:val="005D45FF"/>
    <w:rsid w:val="005D4B4F"/>
    <w:rsid w:val="005D4D06"/>
    <w:rsid w:val="005D4F0F"/>
    <w:rsid w:val="005D546D"/>
    <w:rsid w:val="005D6531"/>
    <w:rsid w:val="005D6FB3"/>
    <w:rsid w:val="005E0F4F"/>
    <w:rsid w:val="005E3011"/>
    <w:rsid w:val="005E3671"/>
    <w:rsid w:val="005E5464"/>
    <w:rsid w:val="005E552B"/>
    <w:rsid w:val="005E582F"/>
    <w:rsid w:val="005E5BF1"/>
    <w:rsid w:val="005E719E"/>
    <w:rsid w:val="005E766A"/>
    <w:rsid w:val="005F10B3"/>
    <w:rsid w:val="005F3A53"/>
    <w:rsid w:val="005F43EF"/>
    <w:rsid w:val="005F6B1E"/>
    <w:rsid w:val="0060052F"/>
    <w:rsid w:val="00600B3D"/>
    <w:rsid w:val="00601ACE"/>
    <w:rsid w:val="006021AA"/>
    <w:rsid w:val="00602563"/>
    <w:rsid w:val="00605409"/>
    <w:rsid w:val="00606259"/>
    <w:rsid w:val="006066BB"/>
    <w:rsid w:val="00606A7D"/>
    <w:rsid w:val="00606AC4"/>
    <w:rsid w:val="00606BEB"/>
    <w:rsid w:val="006112FE"/>
    <w:rsid w:val="00611613"/>
    <w:rsid w:val="00611EC4"/>
    <w:rsid w:val="006127D0"/>
    <w:rsid w:val="00612C4F"/>
    <w:rsid w:val="00614EE0"/>
    <w:rsid w:val="00614F80"/>
    <w:rsid w:val="00614FF1"/>
    <w:rsid w:val="00615762"/>
    <w:rsid w:val="00615BB0"/>
    <w:rsid w:val="00617687"/>
    <w:rsid w:val="00620170"/>
    <w:rsid w:val="00620E35"/>
    <w:rsid w:val="0062113B"/>
    <w:rsid w:val="00621E7E"/>
    <w:rsid w:val="00622039"/>
    <w:rsid w:val="0062257E"/>
    <w:rsid w:val="00622C31"/>
    <w:rsid w:val="00622D0E"/>
    <w:rsid w:val="00623ADC"/>
    <w:rsid w:val="00624B02"/>
    <w:rsid w:val="00625066"/>
    <w:rsid w:val="006255EA"/>
    <w:rsid w:val="00625734"/>
    <w:rsid w:val="00625BBE"/>
    <w:rsid w:val="00626963"/>
    <w:rsid w:val="00626B00"/>
    <w:rsid w:val="00626D59"/>
    <w:rsid w:val="00626EB2"/>
    <w:rsid w:val="006275FF"/>
    <w:rsid w:val="006307F2"/>
    <w:rsid w:val="00630CE0"/>
    <w:rsid w:val="00631803"/>
    <w:rsid w:val="00631F22"/>
    <w:rsid w:val="00631F56"/>
    <w:rsid w:val="00632A9C"/>
    <w:rsid w:val="00633014"/>
    <w:rsid w:val="006336A0"/>
    <w:rsid w:val="00633C1C"/>
    <w:rsid w:val="0063609C"/>
    <w:rsid w:val="00636BA7"/>
    <w:rsid w:val="006402DA"/>
    <w:rsid w:val="0064091F"/>
    <w:rsid w:val="00640A6B"/>
    <w:rsid w:val="00641133"/>
    <w:rsid w:val="006416E8"/>
    <w:rsid w:val="006423BE"/>
    <w:rsid w:val="00642E4C"/>
    <w:rsid w:val="00642FC8"/>
    <w:rsid w:val="006440E2"/>
    <w:rsid w:val="00644478"/>
    <w:rsid w:val="00645332"/>
    <w:rsid w:val="00645C37"/>
    <w:rsid w:val="006468F3"/>
    <w:rsid w:val="00647F67"/>
    <w:rsid w:val="00651253"/>
    <w:rsid w:val="006518AC"/>
    <w:rsid w:val="00652C3C"/>
    <w:rsid w:val="0065404A"/>
    <w:rsid w:val="00654826"/>
    <w:rsid w:val="00654CCA"/>
    <w:rsid w:val="006602EB"/>
    <w:rsid w:val="006605C8"/>
    <w:rsid w:val="0066309E"/>
    <w:rsid w:val="00663683"/>
    <w:rsid w:val="0066369B"/>
    <w:rsid w:val="0066388B"/>
    <w:rsid w:val="00664205"/>
    <w:rsid w:val="0066467C"/>
    <w:rsid w:val="00666D11"/>
    <w:rsid w:val="00670D0C"/>
    <w:rsid w:val="0067118A"/>
    <w:rsid w:val="00672CAC"/>
    <w:rsid w:val="0067333A"/>
    <w:rsid w:val="00673CF7"/>
    <w:rsid w:val="00674647"/>
    <w:rsid w:val="00676121"/>
    <w:rsid w:val="00676283"/>
    <w:rsid w:val="006767CD"/>
    <w:rsid w:val="0068002D"/>
    <w:rsid w:val="00680CC3"/>
    <w:rsid w:val="006825C2"/>
    <w:rsid w:val="00684078"/>
    <w:rsid w:val="00686B0D"/>
    <w:rsid w:val="00690EEA"/>
    <w:rsid w:val="00690EFF"/>
    <w:rsid w:val="006928D7"/>
    <w:rsid w:val="00693230"/>
    <w:rsid w:val="006956FE"/>
    <w:rsid w:val="00695C77"/>
    <w:rsid w:val="00695E40"/>
    <w:rsid w:val="0069682A"/>
    <w:rsid w:val="00696DE3"/>
    <w:rsid w:val="00696F93"/>
    <w:rsid w:val="00697A60"/>
    <w:rsid w:val="006A0562"/>
    <w:rsid w:val="006A0C29"/>
    <w:rsid w:val="006A0CE7"/>
    <w:rsid w:val="006A2224"/>
    <w:rsid w:val="006A3161"/>
    <w:rsid w:val="006A394E"/>
    <w:rsid w:val="006A4881"/>
    <w:rsid w:val="006A5D19"/>
    <w:rsid w:val="006A73A9"/>
    <w:rsid w:val="006B007B"/>
    <w:rsid w:val="006B1090"/>
    <w:rsid w:val="006B1498"/>
    <w:rsid w:val="006B1587"/>
    <w:rsid w:val="006B249F"/>
    <w:rsid w:val="006B2B78"/>
    <w:rsid w:val="006B3563"/>
    <w:rsid w:val="006B3765"/>
    <w:rsid w:val="006B3B2A"/>
    <w:rsid w:val="006B5A25"/>
    <w:rsid w:val="006B5A6B"/>
    <w:rsid w:val="006B5DBA"/>
    <w:rsid w:val="006B696B"/>
    <w:rsid w:val="006B6AFF"/>
    <w:rsid w:val="006B6C31"/>
    <w:rsid w:val="006C04EA"/>
    <w:rsid w:val="006C05D6"/>
    <w:rsid w:val="006C1065"/>
    <w:rsid w:val="006C10D6"/>
    <w:rsid w:val="006C13B7"/>
    <w:rsid w:val="006C19EA"/>
    <w:rsid w:val="006C1E19"/>
    <w:rsid w:val="006C45CA"/>
    <w:rsid w:val="006C51BF"/>
    <w:rsid w:val="006C51DC"/>
    <w:rsid w:val="006C53D6"/>
    <w:rsid w:val="006C5F63"/>
    <w:rsid w:val="006C60AB"/>
    <w:rsid w:val="006C66A5"/>
    <w:rsid w:val="006C6CEB"/>
    <w:rsid w:val="006C7F59"/>
    <w:rsid w:val="006D08BA"/>
    <w:rsid w:val="006D096E"/>
    <w:rsid w:val="006D0ABA"/>
    <w:rsid w:val="006D1DFF"/>
    <w:rsid w:val="006D374F"/>
    <w:rsid w:val="006D3FFD"/>
    <w:rsid w:val="006D5B56"/>
    <w:rsid w:val="006D6245"/>
    <w:rsid w:val="006D64E9"/>
    <w:rsid w:val="006D691D"/>
    <w:rsid w:val="006D6993"/>
    <w:rsid w:val="006D6CEC"/>
    <w:rsid w:val="006D6DD5"/>
    <w:rsid w:val="006E0607"/>
    <w:rsid w:val="006E0995"/>
    <w:rsid w:val="006E1765"/>
    <w:rsid w:val="006E18BF"/>
    <w:rsid w:val="006E2B9C"/>
    <w:rsid w:val="006E2DBF"/>
    <w:rsid w:val="006E2E7E"/>
    <w:rsid w:val="006E2F16"/>
    <w:rsid w:val="006E4909"/>
    <w:rsid w:val="006E554B"/>
    <w:rsid w:val="006E721A"/>
    <w:rsid w:val="006E7302"/>
    <w:rsid w:val="006E7653"/>
    <w:rsid w:val="006E7B59"/>
    <w:rsid w:val="006F1479"/>
    <w:rsid w:val="006F2030"/>
    <w:rsid w:val="006F243B"/>
    <w:rsid w:val="006F319E"/>
    <w:rsid w:val="006F3228"/>
    <w:rsid w:val="006F4DD4"/>
    <w:rsid w:val="006F5E36"/>
    <w:rsid w:val="006F7149"/>
    <w:rsid w:val="00700464"/>
    <w:rsid w:val="0070138D"/>
    <w:rsid w:val="007015AF"/>
    <w:rsid w:val="00702484"/>
    <w:rsid w:val="00702DEF"/>
    <w:rsid w:val="007032C6"/>
    <w:rsid w:val="00703F70"/>
    <w:rsid w:val="00704152"/>
    <w:rsid w:val="007049D3"/>
    <w:rsid w:val="00704D21"/>
    <w:rsid w:val="0070579C"/>
    <w:rsid w:val="0070597A"/>
    <w:rsid w:val="0070610E"/>
    <w:rsid w:val="00706931"/>
    <w:rsid w:val="00706AF8"/>
    <w:rsid w:val="00710EBD"/>
    <w:rsid w:val="0071139B"/>
    <w:rsid w:val="00711AC9"/>
    <w:rsid w:val="00712C6A"/>
    <w:rsid w:val="00714F31"/>
    <w:rsid w:val="00715979"/>
    <w:rsid w:val="00715D56"/>
    <w:rsid w:val="007162E0"/>
    <w:rsid w:val="007163FB"/>
    <w:rsid w:val="00716BCE"/>
    <w:rsid w:val="007174D7"/>
    <w:rsid w:val="00717779"/>
    <w:rsid w:val="00717CF9"/>
    <w:rsid w:val="00720835"/>
    <w:rsid w:val="00721850"/>
    <w:rsid w:val="00721E8D"/>
    <w:rsid w:val="00722753"/>
    <w:rsid w:val="00723A49"/>
    <w:rsid w:val="0072554D"/>
    <w:rsid w:val="007259DF"/>
    <w:rsid w:val="00726860"/>
    <w:rsid w:val="0072753A"/>
    <w:rsid w:val="007277A5"/>
    <w:rsid w:val="00727BD7"/>
    <w:rsid w:val="00730574"/>
    <w:rsid w:val="0073062E"/>
    <w:rsid w:val="00730745"/>
    <w:rsid w:val="00731E12"/>
    <w:rsid w:val="00732B4B"/>
    <w:rsid w:val="007338AC"/>
    <w:rsid w:val="007339B5"/>
    <w:rsid w:val="00733C8F"/>
    <w:rsid w:val="00735D05"/>
    <w:rsid w:val="00736572"/>
    <w:rsid w:val="00736A45"/>
    <w:rsid w:val="00736BDC"/>
    <w:rsid w:val="00737F21"/>
    <w:rsid w:val="00740971"/>
    <w:rsid w:val="0074429B"/>
    <w:rsid w:val="00744C78"/>
    <w:rsid w:val="00746F6F"/>
    <w:rsid w:val="007474E5"/>
    <w:rsid w:val="0075062A"/>
    <w:rsid w:val="00750E4C"/>
    <w:rsid w:val="00752C46"/>
    <w:rsid w:val="007538C6"/>
    <w:rsid w:val="00753CB0"/>
    <w:rsid w:val="0075459C"/>
    <w:rsid w:val="00754AD3"/>
    <w:rsid w:val="0075556B"/>
    <w:rsid w:val="007558FE"/>
    <w:rsid w:val="00757765"/>
    <w:rsid w:val="00763AEF"/>
    <w:rsid w:val="00764A6C"/>
    <w:rsid w:val="007651D1"/>
    <w:rsid w:val="0076577A"/>
    <w:rsid w:val="00766FD8"/>
    <w:rsid w:val="0076797F"/>
    <w:rsid w:val="00770230"/>
    <w:rsid w:val="0077091C"/>
    <w:rsid w:val="007714A1"/>
    <w:rsid w:val="00771BEE"/>
    <w:rsid w:val="007727F9"/>
    <w:rsid w:val="0077354D"/>
    <w:rsid w:val="00774343"/>
    <w:rsid w:val="00774D7F"/>
    <w:rsid w:val="00774F01"/>
    <w:rsid w:val="00775A82"/>
    <w:rsid w:val="007767F5"/>
    <w:rsid w:val="00776AC4"/>
    <w:rsid w:val="00776D1D"/>
    <w:rsid w:val="00777792"/>
    <w:rsid w:val="00777B6C"/>
    <w:rsid w:val="00777E5C"/>
    <w:rsid w:val="00777E78"/>
    <w:rsid w:val="007806F8"/>
    <w:rsid w:val="007818A4"/>
    <w:rsid w:val="00782445"/>
    <w:rsid w:val="007824DD"/>
    <w:rsid w:val="007827FE"/>
    <w:rsid w:val="00783B5E"/>
    <w:rsid w:val="00783CA7"/>
    <w:rsid w:val="00784F2F"/>
    <w:rsid w:val="0078501B"/>
    <w:rsid w:val="007854D1"/>
    <w:rsid w:val="00785972"/>
    <w:rsid w:val="00786C3F"/>
    <w:rsid w:val="0078740F"/>
    <w:rsid w:val="00787C27"/>
    <w:rsid w:val="007906BF"/>
    <w:rsid w:val="00790725"/>
    <w:rsid w:val="007907E3"/>
    <w:rsid w:val="007912F7"/>
    <w:rsid w:val="007920B7"/>
    <w:rsid w:val="00792A19"/>
    <w:rsid w:val="00792A3D"/>
    <w:rsid w:val="007932E1"/>
    <w:rsid w:val="007940C2"/>
    <w:rsid w:val="007951B4"/>
    <w:rsid w:val="00795DF2"/>
    <w:rsid w:val="00796DB5"/>
    <w:rsid w:val="00797543"/>
    <w:rsid w:val="00797AE6"/>
    <w:rsid w:val="00797B26"/>
    <w:rsid w:val="00797EF0"/>
    <w:rsid w:val="00797EFA"/>
    <w:rsid w:val="007A050C"/>
    <w:rsid w:val="007A0B5D"/>
    <w:rsid w:val="007A1158"/>
    <w:rsid w:val="007A23FC"/>
    <w:rsid w:val="007A284B"/>
    <w:rsid w:val="007A3B44"/>
    <w:rsid w:val="007A3D97"/>
    <w:rsid w:val="007A4139"/>
    <w:rsid w:val="007A4B10"/>
    <w:rsid w:val="007A50B3"/>
    <w:rsid w:val="007A50D0"/>
    <w:rsid w:val="007A66C5"/>
    <w:rsid w:val="007A761D"/>
    <w:rsid w:val="007A7BB6"/>
    <w:rsid w:val="007B00A7"/>
    <w:rsid w:val="007B09E8"/>
    <w:rsid w:val="007B24C2"/>
    <w:rsid w:val="007B4736"/>
    <w:rsid w:val="007B5D5D"/>
    <w:rsid w:val="007C1870"/>
    <w:rsid w:val="007C1F24"/>
    <w:rsid w:val="007C2582"/>
    <w:rsid w:val="007C2791"/>
    <w:rsid w:val="007C333F"/>
    <w:rsid w:val="007C39D2"/>
    <w:rsid w:val="007C4333"/>
    <w:rsid w:val="007C43DF"/>
    <w:rsid w:val="007C50D3"/>
    <w:rsid w:val="007C54AA"/>
    <w:rsid w:val="007C5A46"/>
    <w:rsid w:val="007C683D"/>
    <w:rsid w:val="007C6970"/>
    <w:rsid w:val="007C6B2D"/>
    <w:rsid w:val="007C775B"/>
    <w:rsid w:val="007D04D3"/>
    <w:rsid w:val="007D07CC"/>
    <w:rsid w:val="007D14FD"/>
    <w:rsid w:val="007D1732"/>
    <w:rsid w:val="007D3605"/>
    <w:rsid w:val="007D48DE"/>
    <w:rsid w:val="007D49E3"/>
    <w:rsid w:val="007D5B1D"/>
    <w:rsid w:val="007D6134"/>
    <w:rsid w:val="007D625B"/>
    <w:rsid w:val="007D65B8"/>
    <w:rsid w:val="007E0C0F"/>
    <w:rsid w:val="007E0D72"/>
    <w:rsid w:val="007E1599"/>
    <w:rsid w:val="007E226F"/>
    <w:rsid w:val="007E2A71"/>
    <w:rsid w:val="007E2C94"/>
    <w:rsid w:val="007E4664"/>
    <w:rsid w:val="007E4720"/>
    <w:rsid w:val="007E47F2"/>
    <w:rsid w:val="007E5472"/>
    <w:rsid w:val="007E55A0"/>
    <w:rsid w:val="007E6887"/>
    <w:rsid w:val="007E6C4E"/>
    <w:rsid w:val="007E7737"/>
    <w:rsid w:val="007E78AE"/>
    <w:rsid w:val="007E7C33"/>
    <w:rsid w:val="007F0BB6"/>
    <w:rsid w:val="007F1D3C"/>
    <w:rsid w:val="007F1ED4"/>
    <w:rsid w:val="007F2CCF"/>
    <w:rsid w:val="007F374D"/>
    <w:rsid w:val="007F381A"/>
    <w:rsid w:val="007F4BF3"/>
    <w:rsid w:val="007F5327"/>
    <w:rsid w:val="007F6CD8"/>
    <w:rsid w:val="00800162"/>
    <w:rsid w:val="008001C9"/>
    <w:rsid w:val="008018B4"/>
    <w:rsid w:val="0080204D"/>
    <w:rsid w:val="00802AA1"/>
    <w:rsid w:val="0080393E"/>
    <w:rsid w:val="0080532A"/>
    <w:rsid w:val="00805426"/>
    <w:rsid w:val="008058E5"/>
    <w:rsid w:val="00805E8B"/>
    <w:rsid w:val="008061D9"/>
    <w:rsid w:val="0080629F"/>
    <w:rsid w:val="008062CF"/>
    <w:rsid w:val="00810504"/>
    <w:rsid w:val="00810CBA"/>
    <w:rsid w:val="00810EA3"/>
    <w:rsid w:val="00810EDC"/>
    <w:rsid w:val="00811D61"/>
    <w:rsid w:val="008124BF"/>
    <w:rsid w:val="00812C1E"/>
    <w:rsid w:val="008145D9"/>
    <w:rsid w:val="00814AFA"/>
    <w:rsid w:val="00814E4B"/>
    <w:rsid w:val="00814F8A"/>
    <w:rsid w:val="008155EF"/>
    <w:rsid w:val="008205AE"/>
    <w:rsid w:val="0082060E"/>
    <w:rsid w:val="00820630"/>
    <w:rsid w:val="00820F19"/>
    <w:rsid w:val="00820FA2"/>
    <w:rsid w:val="0082154A"/>
    <w:rsid w:val="008224CC"/>
    <w:rsid w:val="008225D5"/>
    <w:rsid w:val="00823B34"/>
    <w:rsid w:val="008254CE"/>
    <w:rsid w:val="00826A23"/>
    <w:rsid w:val="008306FF"/>
    <w:rsid w:val="00831651"/>
    <w:rsid w:val="00831AB1"/>
    <w:rsid w:val="00831D82"/>
    <w:rsid w:val="00832D2D"/>
    <w:rsid w:val="00832DDE"/>
    <w:rsid w:val="008348BE"/>
    <w:rsid w:val="008358D9"/>
    <w:rsid w:val="00836CC5"/>
    <w:rsid w:val="00836CD5"/>
    <w:rsid w:val="00836F61"/>
    <w:rsid w:val="00840043"/>
    <w:rsid w:val="0084083F"/>
    <w:rsid w:val="00840B5A"/>
    <w:rsid w:val="008415E1"/>
    <w:rsid w:val="008422B4"/>
    <w:rsid w:val="00843035"/>
    <w:rsid w:val="00843257"/>
    <w:rsid w:val="00843EE1"/>
    <w:rsid w:val="00844353"/>
    <w:rsid w:val="008449D9"/>
    <w:rsid w:val="0084760D"/>
    <w:rsid w:val="00851ACF"/>
    <w:rsid w:val="0085432D"/>
    <w:rsid w:val="00854D9F"/>
    <w:rsid w:val="00854EF7"/>
    <w:rsid w:val="00855671"/>
    <w:rsid w:val="00855E00"/>
    <w:rsid w:val="00857845"/>
    <w:rsid w:val="00857EA7"/>
    <w:rsid w:val="0086050D"/>
    <w:rsid w:val="008609EB"/>
    <w:rsid w:val="00860EBC"/>
    <w:rsid w:val="008613D5"/>
    <w:rsid w:val="00861BFF"/>
    <w:rsid w:val="00861F71"/>
    <w:rsid w:val="008621AC"/>
    <w:rsid w:val="00862264"/>
    <w:rsid w:val="00862354"/>
    <w:rsid w:val="008631D8"/>
    <w:rsid w:val="0086328E"/>
    <w:rsid w:val="00863741"/>
    <w:rsid w:val="00863772"/>
    <w:rsid w:val="00864682"/>
    <w:rsid w:val="00864867"/>
    <w:rsid w:val="00864E97"/>
    <w:rsid w:val="0086505A"/>
    <w:rsid w:val="00865A39"/>
    <w:rsid w:val="00865F03"/>
    <w:rsid w:val="00867D58"/>
    <w:rsid w:val="00870AA4"/>
    <w:rsid w:val="00871C70"/>
    <w:rsid w:val="00871DA0"/>
    <w:rsid w:val="00872AEA"/>
    <w:rsid w:val="00873423"/>
    <w:rsid w:val="0087364C"/>
    <w:rsid w:val="00873694"/>
    <w:rsid w:val="00873B3D"/>
    <w:rsid w:val="008740DF"/>
    <w:rsid w:val="008756EE"/>
    <w:rsid w:val="00875BBD"/>
    <w:rsid w:val="00875C5F"/>
    <w:rsid w:val="00876839"/>
    <w:rsid w:val="00876A23"/>
    <w:rsid w:val="00876F9E"/>
    <w:rsid w:val="00877703"/>
    <w:rsid w:val="00877E4D"/>
    <w:rsid w:val="00877FCF"/>
    <w:rsid w:val="008820F0"/>
    <w:rsid w:val="00882920"/>
    <w:rsid w:val="00884E5B"/>
    <w:rsid w:val="00885508"/>
    <w:rsid w:val="0088584E"/>
    <w:rsid w:val="00885C01"/>
    <w:rsid w:val="008874B1"/>
    <w:rsid w:val="00891050"/>
    <w:rsid w:val="0089267C"/>
    <w:rsid w:val="008929FB"/>
    <w:rsid w:val="00893826"/>
    <w:rsid w:val="00894037"/>
    <w:rsid w:val="00897AC8"/>
    <w:rsid w:val="008A00A1"/>
    <w:rsid w:val="008A29FC"/>
    <w:rsid w:val="008A2B55"/>
    <w:rsid w:val="008A2FFE"/>
    <w:rsid w:val="008A3122"/>
    <w:rsid w:val="008A3AB8"/>
    <w:rsid w:val="008A3B5C"/>
    <w:rsid w:val="008A3E61"/>
    <w:rsid w:val="008A3EB0"/>
    <w:rsid w:val="008A52DE"/>
    <w:rsid w:val="008A52EA"/>
    <w:rsid w:val="008A6ACB"/>
    <w:rsid w:val="008A7C30"/>
    <w:rsid w:val="008B098F"/>
    <w:rsid w:val="008B1383"/>
    <w:rsid w:val="008B23AD"/>
    <w:rsid w:val="008B2D06"/>
    <w:rsid w:val="008B3247"/>
    <w:rsid w:val="008B3277"/>
    <w:rsid w:val="008B3E36"/>
    <w:rsid w:val="008B50FF"/>
    <w:rsid w:val="008B6BBE"/>
    <w:rsid w:val="008B6C02"/>
    <w:rsid w:val="008B6EDA"/>
    <w:rsid w:val="008B7911"/>
    <w:rsid w:val="008B7DFB"/>
    <w:rsid w:val="008C0B60"/>
    <w:rsid w:val="008C30D6"/>
    <w:rsid w:val="008C4231"/>
    <w:rsid w:val="008C57C7"/>
    <w:rsid w:val="008C5F2B"/>
    <w:rsid w:val="008C69DA"/>
    <w:rsid w:val="008C6AA7"/>
    <w:rsid w:val="008C72FD"/>
    <w:rsid w:val="008D1139"/>
    <w:rsid w:val="008D365D"/>
    <w:rsid w:val="008D44C9"/>
    <w:rsid w:val="008D4A0B"/>
    <w:rsid w:val="008D60DF"/>
    <w:rsid w:val="008E0005"/>
    <w:rsid w:val="008E0FC7"/>
    <w:rsid w:val="008E10A5"/>
    <w:rsid w:val="008E2238"/>
    <w:rsid w:val="008E33AF"/>
    <w:rsid w:val="008E33B2"/>
    <w:rsid w:val="008E35DE"/>
    <w:rsid w:val="008E399D"/>
    <w:rsid w:val="008E3B3F"/>
    <w:rsid w:val="008E3D42"/>
    <w:rsid w:val="008E637D"/>
    <w:rsid w:val="008E6A78"/>
    <w:rsid w:val="008E6BFE"/>
    <w:rsid w:val="008F0B7D"/>
    <w:rsid w:val="008F0FD8"/>
    <w:rsid w:val="008F1E62"/>
    <w:rsid w:val="008F20F0"/>
    <w:rsid w:val="008F282B"/>
    <w:rsid w:val="008F3559"/>
    <w:rsid w:val="008F3875"/>
    <w:rsid w:val="008F4253"/>
    <w:rsid w:val="008F49D5"/>
    <w:rsid w:val="008F4AA6"/>
    <w:rsid w:val="008F4BAA"/>
    <w:rsid w:val="008F5042"/>
    <w:rsid w:val="008F6849"/>
    <w:rsid w:val="008F7DFD"/>
    <w:rsid w:val="00901677"/>
    <w:rsid w:val="00901DA1"/>
    <w:rsid w:val="00902AEA"/>
    <w:rsid w:val="00903AEB"/>
    <w:rsid w:val="009057A5"/>
    <w:rsid w:val="0090580D"/>
    <w:rsid w:val="009073BC"/>
    <w:rsid w:val="0090764A"/>
    <w:rsid w:val="00907C2D"/>
    <w:rsid w:val="00911F76"/>
    <w:rsid w:val="00912C2E"/>
    <w:rsid w:val="00913E0A"/>
    <w:rsid w:val="00916738"/>
    <w:rsid w:val="00917950"/>
    <w:rsid w:val="00917F50"/>
    <w:rsid w:val="00920519"/>
    <w:rsid w:val="00920658"/>
    <w:rsid w:val="009210DC"/>
    <w:rsid w:val="009229D7"/>
    <w:rsid w:val="00922D48"/>
    <w:rsid w:val="00922ED5"/>
    <w:rsid w:val="009247A0"/>
    <w:rsid w:val="009249E3"/>
    <w:rsid w:val="00924AA3"/>
    <w:rsid w:val="00924D9E"/>
    <w:rsid w:val="0092539B"/>
    <w:rsid w:val="0092618F"/>
    <w:rsid w:val="009261DE"/>
    <w:rsid w:val="00926D11"/>
    <w:rsid w:val="00927213"/>
    <w:rsid w:val="00927E81"/>
    <w:rsid w:val="00930681"/>
    <w:rsid w:val="00931952"/>
    <w:rsid w:val="009323E4"/>
    <w:rsid w:val="0093342E"/>
    <w:rsid w:val="009347E2"/>
    <w:rsid w:val="00934F39"/>
    <w:rsid w:val="00935BA1"/>
    <w:rsid w:val="0093620F"/>
    <w:rsid w:val="00940358"/>
    <w:rsid w:val="0094104F"/>
    <w:rsid w:val="00941632"/>
    <w:rsid w:val="0094170A"/>
    <w:rsid w:val="00943045"/>
    <w:rsid w:val="00943A6B"/>
    <w:rsid w:val="0094404A"/>
    <w:rsid w:val="009444F4"/>
    <w:rsid w:val="00944B7D"/>
    <w:rsid w:val="0094647F"/>
    <w:rsid w:val="0094651E"/>
    <w:rsid w:val="00946E3A"/>
    <w:rsid w:val="009505F7"/>
    <w:rsid w:val="009509F4"/>
    <w:rsid w:val="00950BBB"/>
    <w:rsid w:val="00952DBB"/>
    <w:rsid w:val="009552A9"/>
    <w:rsid w:val="009556E6"/>
    <w:rsid w:val="00955EB2"/>
    <w:rsid w:val="009578B0"/>
    <w:rsid w:val="009613FE"/>
    <w:rsid w:val="009618F3"/>
    <w:rsid w:val="00961FBB"/>
    <w:rsid w:val="00962153"/>
    <w:rsid w:val="0096239C"/>
    <w:rsid w:val="009646FC"/>
    <w:rsid w:val="00964BCC"/>
    <w:rsid w:val="00965413"/>
    <w:rsid w:val="00965689"/>
    <w:rsid w:val="00965F7F"/>
    <w:rsid w:val="009661BA"/>
    <w:rsid w:val="00971118"/>
    <w:rsid w:val="00972971"/>
    <w:rsid w:val="0097409E"/>
    <w:rsid w:val="00975305"/>
    <w:rsid w:val="009757A7"/>
    <w:rsid w:val="00976284"/>
    <w:rsid w:val="00976F9C"/>
    <w:rsid w:val="009771A0"/>
    <w:rsid w:val="009816F4"/>
    <w:rsid w:val="00982467"/>
    <w:rsid w:val="009826A7"/>
    <w:rsid w:val="0098322B"/>
    <w:rsid w:val="00984236"/>
    <w:rsid w:val="00985859"/>
    <w:rsid w:val="00985BF1"/>
    <w:rsid w:val="009860F7"/>
    <w:rsid w:val="009861E8"/>
    <w:rsid w:val="00987350"/>
    <w:rsid w:val="00987678"/>
    <w:rsid w:val="00987F0F"/>
    <w:rsid w:val="00990452"/>
    <w:rsid w:val="00990672"/>
    <w:rsid w:val="00990F79"/>
    <w:rsid w:val="009913DC"/>
    <w:rsid w:val="009929C4"/>
    <w:rsid w:val="00994153"/>
    <w:rsid w:val="009A049F"/>
    <w:rsid w:val="009A1AED"/>
    <w:rsid w:val="009A1B3E"/>
    <w:rsid w:val="009A202C"/>
    <w:rsid w:val="009A2573"/>
    <w:rsid w:val="009A2D3D"/>
    <w:rsid w:val="009A2DFB"/>
    <w:rsid w:val="009A3099"/>
    <w:rsid w:val="009A3D6F"/>
    <w:rsid w:val="009A5099"/>
    <w:rsid w:val="009A5654"/>
    <w:rsid w:val="009A60C7"/>
    <w:rsid w:val="009A610C"/>
    <w:rsid w:val="009A64B0"/>
    <w:rsid w:val="009A65AA"/>
    <w:rsid w:val="009A7071"/>
    <w:rsid w:val="009A741D"/>
    <w:rsid w:val="009B002F"/>
    <w:rsid w:val="009B35C6"/>
    <w:rsid w:val="009B373D"/>
    <w:rsid w:val="009B43DC"/>
    <w:rsid w:val="009B4B7D"/>
    <w:rsid w:val="009B52DC"/>
    <w:rsid w:val="009B5F37"/>
    <w:rsid w:val="009B60C2"/>
    <w:rsid w:val="009B6C70"/>
    <w:rsid w:val="009B7D25"/>
    <w:rsid w:val="009C10B9"/>
    <w:rsid w:val="009C1222"/>
    <w:rsid w:val="009C1C01"/>
    <w:rsid w:val="009C24DE"/>
    <w:rsid w:val="009C2D9B"/>
    <w:rsid w:val="009C3317"/>
    <w:rsid w:val="009C411F"/>
    <w:rsid w:val="009C5114"/>
    <w:rsid w:val="009C6C79"/>
    <w:rsid w:val="009C70F3"/>
    <w:rsid w:val="009C76B7"/>
    <w:rsid w:val="009C76E4"/>
    <w:rsid w:val="009C7D1B"/>
    <w:rsid w:val="009D0B7A"/>
    <w:rsid w:val="009D403D"/>
    <w:rsid w:val="009D5376"/>
    <w:rsid w:val="009D6317"/>
    <w:rsid w:val="009D6F3D"/>
    <w:rsid w:val="009D7550"/>
    <w:rsid w:val="009D7679"/>
    <w:rsid w:val="009E156B"/>
    <w:rsid w:val="009E283F"/>
    <w:rsid w:val="009E4421"/>
    <w:rsid w:val="009E4DDB"/>
    <w:rsid w:val="009E64D6"/>
    <w:rsid w:val="009E76BB"/>
    <w:rsid w:val="009E79D6"/>
    <w:rsid w:val="009F0F44"/>
    <w:rsid w:val="009F1681"/>
    <w:rsid w:val="009F1E79"/>
    <w:rsid w:val="009F2E8D"/>
    <w:rsid w:val="009F325A"/>
    <w:rsid w:val="009F4830"/>
    <w:rsid w:val="009F5680"/>
    <w:rsid w:val="009F6474"/>
    <w:rsid w:val="009F6A29"/>
    <w:rsid w:val="009F6A35"/>
    <w:rsid w:val="009F6D6F"/>
    <w:rsid w:val="00A00C5F"/>
    <w:rsid w:val="00A02E3E"/>
    <w:rsid w:val="00A04B60"/>
    <w:rsid w:val="00A04C67"/>
    <w:rsid w:val="00A04FAC"/>
    <w:rsid w:val="00A06197"/>
    <w:rsid w:val="00A06A1C"/>
    <w:rsid w:val="00A07BBE"/>
    <w:rsid w:val="00A107D5"/>
    <w:rsid w:val="00A10FA5"/>
    <w:rsid w:val="00A1103A"/>
    <w:rsid w:val="00A11513"/>
    <w:rsid w:val="00A11A45"/>
    <w:rsid w:val="00A11E92"/>
    <w:rsid w:val="00A14213"/>
    <w:rsid w:val="00A147D6"/>
    <w:rsid w:val="00A162D5"/>
    <w:rsid w:val="00A175F7"/>
    <w:rsid w:val="00A204E9"/>
    <w:rsid w:val="00A2074A"/>
    <w:rsid w:val="00A21807"/>
    <w:rsid w:val="00A23613"/>
    <w:rsid w:val="00A23DED"/>
    <w:rsid w:val="00A2685D"/>
    <w:rsid w:val="00A27491"/>
    <w:rsid w:val="00A27819"/>
    <w:rsid w:val="00A313B8"/>
    <w:rsid w:val="00A31C4D"/>
    <w:rsid w:val="00A32CB4"/>
    <w:rsid w:val="00A32F72"/>
    <w:rsid w:val="00A330EB"/>
    <w:rsid w:val="00A33EB4"/>
    <w:rsid w:val="00A34414"/>
    <w:rsid w:val="00A345A4"/>
    <w:rsid w:val="00A36328"/>
    <w:rsid w:val="00A36801"/>
    <w:rsid w:val="00A36B14"/>
    <w:rsid w:val="00A3766B"/>
    <w:rsid w:val="00A421D1"/>
    <w:rsid w:val="00A42591"/>
    <w:rsid w:val="00A43531"/>
    <w:rsid w:val="00A43A4C"/>
    <w:rsid w:val="00A43B23"/>
    <w:rsid w:val="00A44AC1"/>
    <w:rsid w:val="00A4532C"/>
    <w:rsid w:val="00A479ED"/>
    <w:rsid w:val="00A47EDF"/>
    <w:rsid w:val="00A50A70"/>
    <w:rsid w:val="00A52494"/>
    <w:rsid w:val="00A53134"/>
    <w:rsid w:val="00A54612"/>
    <w:rsid w:val="00A54659"/>
    <w:rsid w:val="00A54695"/>
    <w:rsid w:val="00A5524F"/>
    <w:rsid w:val="00A55DFF"/>
    <w:rsid w:val="00A564DA"/>
    <w:rsid w:val="00A56F0E"/>
    <w:rsid w:val="00A60527"/>
    <w:rsid w:val="00A61336"/>
    <w:rsid w:val="00A6185E"/>
    <w:rsid w:val="00A61D0A"/>
    <w:rsid w:val="00A628B2"/>
    <w:rsid w:val="00A62F6D"/>
    <w:rsid w:val="00A631D4"/>
    <w:rsid w:val="00A657ED"/>
    <w:rsid w:val="00A66AAE"/>
    <w:rsid w:val="00A6710B"/>
    <w:rsid w:val="00A6729F"/>
    <w:rsid w:val="00A67BC4"/>
    <w:rsid w:val="00A708C3"/>
    <w:rsid w:val="00A70B7F"/>
    <w:rsid w:val="00A71399"/>
    <w:rsid w:val="00A74C6B"/>
    <w:rsid w:val="00A76DDE"/>
    <w:rsid w:val="00A774F7"/>
    <w:rsid w:val="00A7792F"/>
    <w:rsid w:val="00A8007C"/>
    <w:rsid w:val="00A8042D"/>
    <w:rsid w:val="00A81F56"/>
    <w:rsid w:val="00A82063"/>
    <w:rsid w:val="00A82860"/>
    <w:rsid w:val="00A86167"/>
    <w:rsid w:val="00A86662"/>
    <w:rsid w:val="00A915B0"/>
    <w:rsid w:val="00A92368"/>
    <w:rsid w:val="00A93028"/>
    <w:rsid w:val="00A9313A"/>
    <w:rsid w:val="00A93959"/>
    <w:rsid w:val="00A95008"/>
    <w:rsid w:val="00A95640"/>
    <w:rsid w:val="00A97972"/>
    <w:rsid w:val="00A97A7A"/>
    <w:rsid w:val="00A97B09"/>
    <w:rsid w:val="00A97D5D"/>
    <w:rsid w:val="00AA078E"/>
    <w:rsid w:val="00AA1557"/>
    <w:rsid w:val="00AA3DE8"/>
    <w:rsid w:val="00AA3ED4"/>
    <w:rsid w:val="00AA4961"/>
    <w:rsid w:val="00AA49B3"/>
    <w:rsid w:val="00AA538F"/>
    <w:rsid w:val="00AA5B92"/>
    <w:rsid w:val="00AB0F78"/>
    <w:rsid w:val="00AB1F5E"/>
    <w:rsid w:val="00AB2782"/>
    <w:rsid w:val="00AB2DF8"/>
    <w:rsid w:val="00AB46C5"/>
    <w:rsid w:val="00AB5668"/>
    <w:rsid w:val="00AB5B72"/>
    <w:rsid w:val="00AB64DA"/>
    <w:rsid w:val="00AB6E42"/>
    <w:rsid w:val="00AB780D"/>
    <w:rsid w:val="00AC1123"/>
    <w:rsid w:val="00AC1609"/>
    <w:rsid w:val="00AC2283"/>
    <w:rsid w:val="00AC26FF"/>
    <w:rsid w:val="00AC4225"/>
    <w:rsid w:val="00AC4E3D"/>
    <w:rsid w:val="00AC5373"/>
    <w:rsid w:val="00AC69D4"/>
    <w:rsid w:val="00AC6FB8"/>
    <w:rsid w:val="00AC734A"/>
    <w:rsid w:val="00AC73E3"/>
    <w:rsid w:val="00AC75A4"/>
    <w:rsid w:val="00AC75CD"/>
    <w:rsid w:val="00AD0575"/>
    <w:rsid w:val="00AD06A4"/>
    <w:rsid w:val="00AD06EF"/>
    <w:rsid w:val="00AD0B9B"/>
    <w:rsid w:val="00AD2ACD"/>
    <w:rsid w:val="00AD2CA1"/>
    <w:rsid w:val="00AD53A8"/>
    <w:rsid w:val="00AD587F"/>
    <w:rsid w:val="00AD6BD1"/>
    <w:rsid w:val="00AD6C2E"/>
    <w:rsid w:val="00AD74D7"/>
    <w:rsid w:val="00AD7596"/>
    <w:rsid w:val="00AE08BF"/>
    <w:rsid w:val="00AE0E04"/>
    <w:rsid w:val="00AE2F78"/>
    <w:rsid w:val="00AE36A0"/>
    <w:rsid w:val="00AE3C6D"/>
    <w:rsid w:val="00AE3DE2"/>
    <w:rsid w:val="00AE4D0F"/>
    <w:rsid w:val="00AF14B7"/>
    <w:rsid w:val="00AF25F9"/>
    <w:rsid w:val="00AF4BA6"/>
    <w:rsid w:val="00AF50C6"/>
    <w:rsid w:val="00AF5A57"/>
    <w:rsid w:val="00AF6DF4"/>
    <w:rsid w:val="00B00089"/>
    <w:rsid w:val="00B002FC"/>
    <w:rsid w:val="00B00D57"/>
    <w:rsid w:val="00B014D9"/>
    <w:rsid w:val="00B0203F"/>
    <w:rsid w:val="00B02BD4"/>
    <w:rsid w:val="00B03836"/>
    <w:rsid w:val="00B0532B"/>
    <w:rsid w:val="00B06CE4"/>
    <w:rsid w:val="00B06F03"/>
    <w:rsid w:val="00B073F5"/>
    <w:rsid w:val="00B102C7"/>
    <w:rsid w:val="00B10423"/>
    <w:rsid w:val="00B105CC"/>
    <w:rsid w:val="00B10DC5"/>
    <w:rsid w:val="00B12108"/>
    <w:rsid w:val="00B1282D"/>
    <w:rsid w:val="00B136E4"/>
    <w:rsid w:val="00B1437F"/>
    <w:rsid w:val="00B14B92"/>
    <w:rsid w:val="00B15B6D"/>
    <w:rsid w:val="00B161DE"/>
    <w:rsid w:val="00B162D8"/>
    <w:rsid w:val="00B16AAD"/>
    <w:rsid w:val="00B2062E"/>
    <w:rsid w:val="00B222C6"/>
    <w:rsid w:val="00B22BF5"/>
    <w:rsid w:val="00B24591"/>
    <w:rsid w:val="00B24A10"/>
    <w:rsid w:val="00B252E4"/>
    <w:rsid w:val="00B25EC8"/>
    <w:rsid w:val="00B27666"/>
    <w:rsid w:val="00B27768"/>
    <w:rsid w:val="00B309ED"/>
    <w:rsid w:val="00B32D00"/>
    <w:rsid w:val="00B333A1"/>
    <w:rsid w:val="00B33C76"/>
    <w:rsid w:val="00B34845"/>
    <w:rsid w:val="00B3688B"/>
    <w:rsid w:val="00B374AF"/>
    <w:rsid w:val="00B37903"/>
    <w:rsid w:val="00B4126E"/>
    <w:rsid w:val="00B413BA"/>
    <w:rsid w:val="00B423A4"/>
    <w:rsid w:val="00B42BAA"/>
    <w:rsid w:val="00B44783"/>
    <w:rsid w:val="00B44F6D"/>
    <w:rsid w:val="00B46546"/>
    <w:rsid w:val="00B46769"/>
    <w:rsid w:val="00B472E0"/>
    <w:rsid w:val="00B473C6"/>
    <w:rsid w:val="00B52083"/>
    <w:rsid w:val="00B52122"/>
    <w:rsid w:val="00B522D8"/>
    <w:rsid w:val="00B5289B"/>
    <w:rsid w:val="00B52E8C"/>
    <w:rsid w:val="00B54A12"/>
    <w:rsid w:val="00B5601A"/>
    <w:rsid w:val="00B5655E"/>
    <w:rsid w:val="00B579E3"/>
    <w:rsid w:val="00B57B05"/>
    <w:rsid w:val="00B60C64"/>
    <w:rsid w:val="00B61702"/>
    <w:rsid w:val="00B6178A"/>
    <w:rsid w:val="00B6210C"/>
    <w:rsid w:val="00B6235A"/>
    <w:rsid w:val="00B62B3F"/>
    <w:rsid w:val="00B62D1F"/>
    <w:rsid w:val="00B62D94"/>
    <w:rsid w:val="00B63B50"/>
    <w:rsid w:val="00B63BC1"/>
    <w:rsid w:val="00B66DAA"/>
    <w:rsid w:val="00B673F6"/>
    <w:rsid w:val="00B67C8D"/>
    <w:rsid w:val="00B67CA8"/>
    <w:rsid w:val="00B70B88"/>
    <w:rsid w:val="00B7270A"/>
    <w:rsid w:val="00B74609"/>
    <w:rsid w:val="00B74BDB"/>
    <w:rsid w:val="00B7542C"/>
    <w:rsid w:val="00B756C4"/>
    <w:rsid w:val="00B7637C"/>
    <w:rsid w:val="00B806C4"/>
    <w:rsid w:val="00B80796"/>
    <w:rsid w:val="00B8105C"/>
    <w:rsid w:val="00B8269E"/>
    <w:rsid w:val="00B827B4"/>
    <w:rsid w:val="00B82997"/>
    <w:rsid w:val="00B855BA"/>
    <w:rsid w:val="00B861A8"/>
    <w:rsid w:val="00B92BAF"/>
    <w:rsid w:val="00B92CE7"/>
    <w:rsid w:val="00B94395"/>
    <w:rsid w:val="00B95618"/>
    <w:rsid w:val="00B96AD1"/>
    <w:rsid w:val="00B975EB"/>
    <w:rsid w:val="00BA1BB9"/>
    <w:rsid w:val="00BA2015"/>
    <w:rsid w:val="00BA21AE"/>
    <w:rsid w:val="00BA2DFC"/>
    <w:rsid w:val="00BA300D"/>
    <w:rsid w:val="00BA4DF4"/>
    <w:rsid w:val="00BA5257"/>
    <w:rsid w:val="00BA56BD"/>
    <w:rsid w:val="00BA5890"/>
    <w:rsid w:val="00BA6F68"/>
    <w:rsid w:val="00BB0121"/>
    <w:rsid w:val="00BB0291"/>
    <w:rsid w:val="00BB112D"/>
    <w:rsid w:val="00BB1A5C"/>
    <w:rsid w:val="00BB213D"/>
    <w:rsid w:val="00BB2F3B"/>
    <w:rsid w:val="00BB31F5"/>
    <w:rsid w:val="00BB4E6B"/>
    <w:rsid w:val="00BB51D9"/>
    <w:rsid w:val="00BB54F4"/>
    <w:rsid w:val="00BB56CC"/>
    <w:rsid w:val="00BB7760"/>
    <w:rsid w:val="00BB7D50"/>
    <w:rsid w:val="00BC0BBF"/>
    <w:rsid w:val="00BC1B40"/>
    <w:rsid w:val="00BC2B8C"/>
    <w:rsid w:val="00BC2D89"/>
    <w:rsid w:val="00BC34DD"/>
    <w:rsid w:val="00BC436E"/>
    <w:rsid w:val="00BC4581"/>
    <w:rsid w:val="00BC5CE5"/>
    <w:rsid w:val="00BC6916"/>
    <w:rsid w:val="00BC7172"/>
    <w:rsid w:val="00BD081F"/>
    <w:rsid w:val="00BD1834"/>
    <w:rsid w:val="00BD296C"/>
    <w:rsid w:val="00BD2B00"/>
    <w:rsid w:val="00BD3E5B"/>
    <w:rsid w:val="00BD4E23"/>
    <w:rsid w:val="00BD56A3"/>
    <w:rsid w:val="00BD5E9A"/>
    <w:rsid w:val="00BD5F0E"/>
    <w:rsid w:val="00BD6273"/>
    <w:rsid w:val="00BE1011"/>
    <w:rsid w:val="00BE111C"/>
    <w:rsid w:val="00BE1171"/>
    <w:rsid w:val="00BE3294"/>
    <w:rsid w:val="00BE375A"/>
    <w:rsid w:val="00BE3762"/>
    <w:rsid w:val="00BE4E8B"/>
    <w:rsid w:val="00BE53C4"/>
    <w:rsid w:val="00BE551C"/>
    <w:rsid w:val="00BE629F"/>
    <w:rsid w:val="00BE6C3C"/>
    <w:rsid w:val="00BE72C8"/>
    <w:rsid w:val="00BF013C"/>
    <w:rsid w:val="00BF1451"/>
    <w:rsid w:val="00BF4FD5"/>
    <w:rsid w:val="00BF7FE6"/>
    <w:rsid w:val="00C0045B"/>
    <w:rsid w:val="00C01C71"/>
    <w:rsid w:val="00C022B3"/>
    <w:rsid w:val="00C04BE5"/>
    <w:rsid w:val="00C04CB4"/>
    <w:rsid w:val="00C068E2"/>
    <w:rsid w:val="00C06BB4"/>
    <w:rsid w:val="00C10798"/>
    <w:rsid w:val="00C109AC"/>
    <w:rsid w:val="00C11344"/>
    <w:rsid w:val="00C11799"/>
    <w:rsid w:val="00C13429"/>
    <w:rsid w:val="00C13467"/>
    <w:rsid w:val="00C13B1C"/>
    <w:rsid w:val="00C14AB0"/>
    <w:rsid w:val="00C14C86"/>
    <w:rsid w:val="00C156CA"/>
    <w:rsid w:val="00C16834"/>
    <w:rsid w:val="00C169BE"/>
    <w:rsid w:val="00C209B8"/>
    <w:rsid w:val="00C21525"/>
    <w:rsid w:val="00C21D3A"/>
    <w:rsid w:val="00C23ED5"/>
    <w:rsid w:val="00C24980"/>
    <w:rsid w:val="00C262B1"/>
    <w:rsid w:val="00C26562"/>
    <w:rsid w:val="00C26A86"/>
    <w:rsid w:val="00C26ACD"/>
    <w:rsid w:val="00C2744B"/>
    <w:rsid w:val="00C27D72"/>
    <w:rsid w:val="00C302CC"/>
    <w:rsid w:val="00C3050E"/>
    <w:rsid w:val="00C30CB9"/>
    <w:rsid w:val="00C318A3"/>
    <w:rsid w:val="00C3260C"/>
    <w:rsid w:val="00C33ABA"/>
    <w:rsid w:val="00C33B8A"/>
    <w:rsid w:val="00C35158"/>
    <w:rsid w:val="00C35BC9"/>
    <w:rsid w:val="00C36A74"/>
    <w:rsid w:val="00C36DEC"/>
    <w:rsid w:val="00C37579"/>
    <w:rsid w:val="00C40D92"/>
    <w:rsid w:val="00C41C3E"/>
    <w:rsid w:val="00C42003"/>
    <w:rsid w:val="00C424AB"/>
    <w:rsid w:val="00C4468A"/>
    <w:rsid w:val="00C44871"/>
    <w:rsid w:val="00C44C11"/>
    <w:rsid w:val="00C45957"/>
    <w:rsid w:val="00C479E4"/>
    <w:rsid w:val="00C507E4"/>
    <w:rsid w:val="00C53570"/>
    <w:rsid w:val="00C56D6F"/>
    <w:rsid w:val="00C56DC5"/>
    <w:rsid w:val="00C5797D"/>
    <w:rsid w:val="00C57B46"/>
    <w:rsid w:val="00C57E73"/>
    <w:rsid w:val="00C61446"/>
    <w:rsid w:val="00C62F49"/>
    <w:rsid w:val="00C63621"/>
    <w:rsid w:val="00C65E41"/>
    <w:rsid w:val="00C66155"/>
    <w:rsid w:val="00C664EC"/>
    <w:rsid w:val="00C667D0"/>
    <w:rsid w:val="00C667F0"/>
    <w:rsid w:val="00C669A3"/>
    <w:rsid w:val="00C6794A"/>
    <w:rsid w:val="00C67B82"/>
    <w:rsid w:val="00C70416"/>
    <w:rsid w:val="00C71829"/>
    <w:rsid w:val="00C72216"/>
    <w:rsid w:val="00C72E31"/>
    <w:rsid w:val="00C73599"/>
    <w:rsid w:val="00C73A57"/>
    <w:rsid w:val="00C73F16"/>
    <w:rsid w:val="00C75F58"/>
    <w:rsid w:val="00C76982"/>
    <w:rsid w:val="00C76FF4"/>
    <w:rsid w:val="00C77434"/>
    <w:rsid w:val="00C77617"/>
    <w:rsid w:val="00C77E47"/>
    <w:rsid w:val="00C801E8"/>
    <w:rsid w:val="00C81263"/>
    <w:rsid w:val="00C815EB"/>
    <w:rsid w:val="00C81832"/>
    <w:rsid w:val="00C81D26"/>
    <w:rsid w:val="00C8344A"/>
    <w:rsid w:val="00C845E9"/>
    <w:rsid w:val="00C84DD8"/>
    <w:rsid w:val="00C855B5"/>
    <w:rsid w:val="00C858AA"/>
    <w:rsid w:val="00C85A27"/>
    <w:rsid w:val="00C87170"/>
    <w:rsid w:val="00C87C73"/>
    <w:rsid w:val="00C90D7E"/>
    <w:rsid w:val="00C91063"/>
    <w:rsid w:val="00C910CE"/>
    <w:rsid w:val="00C913B2"/>
    <w:rsid w:val="00C92E1F"/>
    <w:rsid w:val="00C9669D"/>
    <w:rsid w:val="00C9676B"/>
    <w:rsid w:val="00C96E68"/>
    <w:rsid w:val="00C971E8"/>
    <w:rsid w:val="00C973E8"/>
    <w:rsid w:val="00CA0F4B"/>
    <w:rsid w:val="00CA2C00"/>
    <w:rsid w:val="00CA3460"/>
    <w:rsid w:val="00CA36C5"/>
    <w:rsid w:val="00CA4624"/>
    <w:rsid w:val="00CA5079"/>
    <w:rsid w:val="00CA511F"/>
    <w:rsid w:val="00CA6F50"/>
    <w:rsid w:val="00CA79D2"/>
    <w:rsid w:val="00CB1469"/>
    <w:rsid w:val="00CB5164"/>
    <w:rsid w:val="00CB5486"/>
    <w:rsid w:val="00CB5BDA"/>
    <w:rsid w:val="00CB61CE"/>
    <w:rsid w:val="00CB62F0"/>
    <w:rsid w:val="00CB6346"/>
    <w:rsid w:val="00CB6712"/>
    <w:rsid w:val="00CB71DF"/>
    <w:rsid w:val="00CB7E9A"/>
    <w:rsid w:val="00CC0B1A"/>
    <w:rsid w:val="00CC0C73"/>
    <w:rsid w:val="00CC1245"/>
    <w:rsid w:val="00CC1458"/>
    <w:rsid w:val="00CC2C12"/>
    <w:rsid w:val="00CC3687"/>
    <w:rsid w:val="00CC3A0D"/>
    <w:rsid w:val="00CC579C"/>
    <w:rsid w:val="00CC5F02"/>
    <w:rsid w:val="00CC5FB0"/>
    <w:rsid w:val="00CC7E0F"/>
    <w:rsid w:val="00CD05A4"/>
    <w:rsid w:val="00CD128D"/>
    <w:rsid w:val="00CD2668"/>
    <w:rsid w:val="00CD29C6"/>
    <w:rsid w:val="00CD34A8"/>
    <w:rsid w:val="00CD397F"/>
    <w:rsid w:val="00CD3A05"/>
    <w:rsid w:val="00CD477F"/>
    <w:rsid w:val="00CD562A"/>
    <w:rsid w:val="00CD59CE"/>
    <w:rsid w:val="00CD59E2"/>
    <w:rsid w:val="00CD6FA4"/>
    <w:rsid w:val="00CD7054"/>
    <w:rsid w:val="00CD7B93"/>
    <w:rsid w:val="00CE0A7C"/>
    <w:rsid w:val="00CE0E36"/>
    <w:rsid w:val="00CE108F"/>
    <w:rsid w:val="00CE1FF5"/>
    <w:rsid w:val="00CE29B5"/>
    <w:rsid w:val="00CE69D2"/>
    <w:rsid w:val="00CE7FBD"/>
    <w:rsid w:val="00CF03F3"/>
    <w:rsid w:val="00CF0FA3"/>
    <w:rsid w:val="00CF16D5"/>
    <w:rsid w:val="00CF19D2"/>
    <w:rsid w:val="00CF19F4"/>
    <w:rsid w:val="00CF1F4D"/>
    <w:rsid w:val="00CF2EF0"/>
    <w:rsid w:val="00CF30A6"/>
    <w:rsid w:val="00CF34D3"/>
    <w:rsid w:val="00CF3DBB"/>
    <w:rsid w:val="00CF53B4"/>
    <w:rsid w:val="00CF6AF0"/>
    <w:rsid w:val="00CF6FA5"/>
    <w:rsid w:val="00D00229"/>
    <w:rsid w:val="00D03E96"/>
    <w:rsid w:val="00D06767"/>
    <w:rsid w:val="00D0731B"/>
    <w:rsid w:val="00D11B4B"/>
    <w:rsid w:val="00D11C8C"/>
    <w:rsid w:val="00D136DA"/>
    <w:rsid w:val="00D15536"/>
    <w:rsid w:val="00D167CB"/>
    <w:rsid w:val="00D16828"/>
    <w:rsid w:val="00D2165A"/>
    <w:rsid w:val="00D24996"/>
    <w:rsid w:val="00D269ED"/>
    <w:rsid w:val="00D30488"/>
    <w:rsid w:val="00D30E29"/>
    <w:rsid w:val="00D30F2A"/>
    <w:rsid w:val="00D312AC"/>
    <w:rsid w:val="00D31874"/>
    <w:rsid w:val="00D3227B"/>
    <w:rsid w:val="00D326B2"/>
    <w:rsid w:val="00D32804"/>
    <w:rsid w:val="00D33B33"/>
    <w:rsid w:val="00D358C8"/>
    <w:rsid w:val="00D37301"/>
    <w:rsid w:val="00D37F34"/>
    <w:rsid w:val="00D40425"/>
    <w:rsid w:val="00D4186A"/>
    <w:rsid w:val="00D42AE8"/>
    <w:rsid w:val="00D4347F"/>
    <w:rsid w:val="00D44604"/>
    <w:rsid w:val="00D44B99"/>
    <w:rsid w:val="00D46E82"/>
    <w:rsid w:val="00D4749A"/>
    <w:rsid w:val="00D60982"/>
    <w:rsid w:val="00D60E92"/>
    <w:rsid w:val="00D6197D"/>
    <w:rsid w:val="00D61AF7"/>
    <w:rsid w:val="00D62663"/>
    <w:rsid w:val="00D62A77"/>
    <w:rsid w:val="00D63554"/>
    <w:rsid w:val="00D63EDC"/>
    <w:rsid w:val="00D63F5E"/>
    <w:rsid w:val="00D66BC9"/>
    <w:rsid w:val="00D7008E"/>
    <w:rsid w:val="00D71B0A"/>
    <w:rsid w:val="00D72038"/>
    <w:rsid w:val="00D74284"/>
    <w:rsid w:val="00D74BF2"/>
    <w:rsid w:val="00D75165"/>
    <w:rsid w:val="00D755DE"/>
    <w:rsid w:val="00D81CA9"/>
    <w:rsid w:val="00D8217D"/>
    <w:rsid w:val="00D822FA"/>
    <w:rsid w:val="00D83AF7"/>
    <w:rsid w:val="00D84184"/>
    <w:rsid w:val="00D84263"/>
    <w:rsid w:val="00D84419"/>
    <w:rsid w:val="00D853BF"/>
    <w:rsid w:val="00D85534"/>
    <w:rsid w:val="00D86248"/>
    <w:rsid w:val="00D86F88"/>
    <w:rsid w:val="00D872F4"/>
    <w:rsid w:val="00D87F0B"/>
    <w:rsid w:val="00D90250"/>
    <w:rsid w:val="00D90998"/>
    <w:rsid w:val="00D90EF4"/>
    <w:rsid w:val="00D90FD3"/>
    <w:rsid w:val="00D92F01"/>
    <w:rsid w:val="00D93517"/>
    <w:rsid w:val="00D93AB6"/>
    <w:rsid w:val="00D94241"/>
    <w:rsid w:val="00D9495E"/>
    <w:rsid w:val="00D95C69"/>
    <w:rsid w:val="00D96BD9"/>
    <w:rsid w:val="00D97525"/>
    <w:rsid w:val="00D97DE4"/>
    <w:rsid w:val="00D97E0E"/>
    <w:rsid w:val="00DA08FA"/>
    <w:rsid w:val="00DA0919"/>
    <w:rsid w:val="00DA0A8F"/>
    <w:rsid w:val="00DA1330"/>
    <w:rsid w:val="00DA3B2F"/>
    <w:rsid w:val="00DA4746"/>
    <w:rsid w:val="00DA7F1F"/>
    <w:rsid w:val="00DB1FD5"/>
    <w:rsid w:val="00DB20C6"/>
    <w:rsid w:val="00DB3009"/>
    <w:rsid w:val="00DB3387"/>
    <w:rsid w:val="00DB59B7"/>
    <w:rsid w:val="00DB5E07"/>
    <w:rsid w:val="00DB5E44"/>
    <w:rsid w:val="00DB7A0C"/>
    <w:rsid w:val="00DC0C36"/>
    <w:rsid w:val="00DC166B"/>
    <w:rsid w:val="00DC3979"/>
    <w:rsid w:val="00DC4655"/>
    <w:rsid w:val="00DC6B95"/>
    <w:rsid w:val="00DC73EB"/>
    <w:rsid w:val="00DC74F8"/>
    <w:rsid w:val="00DC7EC1"/>
    <w:rsid w:val="00DD0342"/>
    <w:rsid w:val="00DD06EA"/>
    <w:rsid w:val="00DD07C9"/>
    <w:rsid w:val="00DD27A6"/>
    <w:rsid w:val="00DD27AA"/>
    <w:rsid w:val="00DD307F"/>
    <w:rsid w:val="00DD40B1"/>
    <w:rsid w:val="00DD5BBC"/>
    <w:rsid w:val="00DD5E8E"/>
    <w:rsid w:val="00DD5EF8"/>
    <w:rsid w:val="00DD7255"/>
    <w:rsid w:val="00DD7938"/>
    <w:rsid w:val="00DD79D9"/>
    <w:rsid w:val="00DD7E50"/>
    <w:rsid w:val="00DE04BB"/>
    <w:rsid w:val="00DE11AC"/>
    <w:rsid w:val="00DE131A"/>
    <w:rsid w:val="00DE170F"/>
    <w:rsid w:val="00DE1C57"/>
    <w:rsid w:val="00DE280C"/>
    <w:rsid w:val="00DE31AF"/>
    <w:rsid w:val="00DE3CE0"/>
    <w:rsid w:val="00DE40C1"/>
    <w:rsid w:val="00DE573F"/>
    <w:rsid w:val="00DE76F9"/>
    <w:rsid w:val="00DF06C4"/>
    <w:rsid w:val="00DF1855"/>
    <w:rsid w:val="00DF189A"/>
    <w:rsid w:val="00DF272B"/>
    <w:rsid w:val="00DF46B2"/>
    <w:rsid w:val="00DF519D"/>
    <w:rsid w:val="00DF5FEE"/>
    <w:rsid w:val="00DF72E3"/>
    <w:rsid w:val="00DF7535"/>
    <w:rsid w:val="00DF7F31"/>
    <w:rsid w:val="00E002CC"/>
    <w:rsid w:val="00E008FA"/>
    <w:rsid w:val="00E02F57"/>
    <w:rsid w:val="00E048E5"/>
    <w:rsid w:val="00E0550C"/>
    <w:rsid w:val="00E072FC"/>
    <w:rsid w:val="00E07C92"/>
    <w:rsid w:val="00E12B6E"/>
    <w:rsid w:val="00E1320F"/>
    <w:rsid w:val="00E1420C"/>
    <w:rsid w:val="00E144C0"/>
    <w:rsid w:val="00E15060"/>
    <w:rsid w:val="00E15556"/>
    <w:rsid w:val="00E15CD9"/>
    <w:rsid w:val="00E201A1"/>
    <w:rsid w:val="00E20254"/>
    <w:rsid w:val="00E20928"/>
    <w:rsid w:val="00E23C72"/>
    <w:rsid w:val="00E2409E"/>
    <w:rsid w:val="00E245B4"/>
    <w:rsid w:val="00E24675"/>
    <w:rsid w:val="00E25200"/>
    <w:rsid w:val="00E262FC"/>
    <w:rsid w:val="00E2683E"/>
    <w:rsid w:val="00E26C80"/>
    <w:rsid w:val="00E27812"/>
    <w:rsid w:val="00E27DEF"/>
    <w:rsid w:val="00E30734"/>
    <w:rsid w:val="00E32323"/>
    <w:rsid w:val="00E32473"/>
    <w:rsid w:val="00E3254A"/>
    <w:rsid w:val="00E33881"/>
    <w:rsid w:val="00E33DBE"/>
    <w:rsid w:val="00E3487F"/>
    <w:rsid w:val="00E34C68"/>
    <w:rsid w:val="00E35881"/>
    <w:rsid w:val="00E4015C"/>
    <w:rsid w:val="00E4195C"/>
    <w:rsid w:val="00E439AE"/>
    <w:rsid w:val="00E44972"/>
    <w:rsid w:val="00E4797A"/>
    <w:rsid w:val="00E47CC5"/>
    <w:rsid w:val="00E47FCE"/>
    <w:rsid w:val="00E502BE"/>
    <w:rsid w:val="00E502E7"/>
    <w:rsid w:val="00E5091F"/>
    <w:rsid w:val="00E53638"/>
    <w:rsid w:val="00E537E9"/>
    <w:rsid w:val="00E53B76"/>
    <w:rsid w:val="00E54123"/>
    <w:rsid w:val="00E56CC8"/>
    <w:rsid w:val="00E57780"/>
    <w:rsid w:val="00E57F6D"/>
    <w:rsid w:val="00E601DF"/>
    <w:rsid w:val="00E6033B"/>
    <w:rsid w:val="00E60644"/>
    <w:rsid w:val="00E61E8C"/>
    <w:rsid w:val="00E64602"/>
    <w:rsid w:val="00E652EB"/>
    <w:rsid w:val="00E664F6"/>
    <w:rsid w:val="00E70917"/>
    <w:rsid w:val="00E72027"/>
    <w:rsid w:val="00E728A4"/>
    <w:rsid w:val="00E72BA6"/>
    <w:rsid w:val="00E75793"/>
    <w:rsid w:val="00E803B7"/>
    <w:rsid w:val="00E81234"/>
    <w:rsid w:val="00E81A53"/>
    <w:rsid w:val="00E81CF5"/>
    <w:rsid w:val="00E81FBA"/>
    <w:rsid w:val="00E826EC"/>
    <w:rsid w:val="00E840B6"/>
    <w:rsid w:val="00E8513F"/>
    <w:rsid w:val="00E86DF7"/>
    <w:rsid w:val="00E87048"/>
    <w:rsid w:val="00E87637"/>
    <w:rsid w:val="00E87B37"/>
    <w:rsid w:val="00E913D9"/>
    <w:rsid w:val="00E922BA"/>
    <w:rsid w:val="00E9332C"/>
    <w:rsid w:val="00E933B5"/>
    <w:rsid w:val="00E9380B"/>
    <w:rsid w:val="00E93E6A"/>
    <w:rsid w:val="00E94872"/>
    <w:rsid w:val="00E94A2B"/>
    <w:rsid w:val="00E95D5E"/>
    <w:rsid w:val="00E96FB0"/>
    <w:rsid w:val="00E972DD"/>
    <w:rsid w:val="00E97457"/>
    <w:rsid w:val="00EA0316"/>
    <w:rsid w:val="00EA075A"/>
    <w:rsid w:val="00EA0B68"/>
    <w:rsid w:val="00EA15B1"/>
    <w:rsid w:val="00EA2017"/>
    <w:rsid w:val="00EA3345"/>
    <w:rsid w:val="00EA3C68"/>
    <w:rsid w:val="00EA3FCB"/>
    <w:rsid w:val="00EA4D92"/>
    <w:rsid w:val="00EA521C"/>
    <w:rsid w:val="00EA536A"/>
    <w:rsid w:val="00EA5864"/>
    <w:rsid w:val="00EA6380"/>
    <w:rsid w:val="00EB1F3A"/>
    <w:rsid w:val="00EB1F76"/>
    <w:rsid w:val="00EB2EC0"/>
    <w:rsid w:val="00EB3F36"/>
    <w:rsid w:val="00EB7069"/>
    <w:rsid w:val="00EB72E6"/>
    <w:rsid w:val="00EB7916"/>
    <w:rsid w:val="00EB7CD0"/>
    <w:rsid w:val="00EC007A"/>
    <w:rsid w:val="00EC063D"/>
    <w:rsid w:val="00EC1821"/>
    <w:rsid w:val="00EC1E9F"/>
    <w:rsid w:val="00EC21B5"/>
    <w:rsid w:val="00EC23E3"/>
    <w:rsid w:val="00EC2470"/>
    <w:rsid w:val="00EC27C8"/>
    <w:rsid w:val="00EC2E55"/>
    <w:rsid w:val="00EC5D8C"/>
    <w:rsid w:val="00EC61D0"/>
    <w:rsid w:val="00EC644A"/>
    <w:rsid w:val="00EC6CE9"/>
    <w:rsid w:val="00EC75D4"/>
    <w:rsid w:val="00ED01C3"/>
    <w:rsid w:val="00ED0B65"/>
    <w:rsid w:val="00ED165C"/>
    <w:rsid w:val="00ED1A9C"/>
    <w:rsid w:val="00ED2FD0"/>
    <w:rsid w:val="00ED6025"/>
    <w:rsid w:val="00ED74EE"/>
    <w:rsid w:val="00ED7A1E"/>
    <w:rsid w:val="00EE0361"/>
    <w:rsid w:val="00EE056C"/>
    <w:rsid w:val="00EE1466"/>
    <w:rsid w:val="00EE1583"/>
    <w:rsid w:val="00EE2AEB"/>
    <w:rsid w:val="00EE4AB1"/>
    <w:rsid w:val="00EE4F40"/>
    <w:rsid w:val="00EE53BC"/>
    <w:rsid w:val="00EE5501"/>
    <w:rsid w:val="00EE6732"/>
    <w:rsid w:val="00EE6D77"/>
    <w:rsid w:val="00EE723D"/>
    <w:rsid w:val="00EF09E8"/>
    <w:rsid w:val="00EF1478"/>
    <w:rsid w:val="00EF1F94"/>
    <w:rsid w:val="00EF2D51"/>
    <w:rsid w:val="00EF2E83"/>
    <w:rsid w:val="00EF4123"/>
    <w:rsid w:val="00EF437A"/>
    <w:rsid w:val="00EF4494"/>
    <w:rsid w:val="00EF5CAD"/>
    <w:rsid w:val="00EF7DC6"/>
    <w:rsid w:val="00F001C2"/>
    <w:rsid w:val="00F02342"/>
    <w:rsid w:val="00F03F7E"/>
    <w:rsid w:val="00F04701"/>
    <w:rsid w:val="00F04DB1"/>
    <w:rsid w:val="00F0597B"/>
    <w:rsid w:val="00F0597E"/>
    <w:rsid w:val="00F059F3"/>
    <w:rsid w:val="00F05C6B"/>
    <w:rsid w:val="00F05E37"/>
    <w:rsid w:val="00F06B3D"/>
    <w:rsid w:val="00F06D8A"/>
    <w:rsid w:val="00F07E98"/>
    <w:rsid w:val="00F10088"/>
    <w:rsid w:val="00F10330"/>
    <w:rsid w:val="00F116FA"/>
    <w:rsid w:val="00F11A1E"/>
    <w:rsid w:val="00F12423"/>
    <w:rsid w:val="00F13BB4"/>
    <w:rsid w:val="00F13E32"/>
    <w:rsid w:val="00F13F09"/>
    <w:rsid w:val="00F14125"/>
    <w:rsid w:val="00F15989"/>
    <w:rsid w:val="00F15A39"/>
    <w:rsid w:val="00F15A96"/>
    <w:rsid w:val="00F17032"/>
    <w:rsid w:val="00F17B05"/>
    <w:rsid w:val="00F201C6"/>
    <w:rsid w:val="00F2088F"/>
    <w:rsid w:val="00F2235C"/>
    <w:rsid w:val="00F23318"/>
    <w:rsid w:val="00F25CB1"/>
    <w:rsid w:val="00F25E8D"/>
    <w:rsid w:val="00F26B5E"/>
    <w:rsid w:val="00F26FB3"/>
    <w:rsid w:val="00F27436"/>
    <w:rsid w:val="00F276CD"/>
    <w:rsid w:val="00F27732"/>
    <w:rsid w:val="00F27999"/>
    <w:rsid w:val="00F27C3B"/>
    <w:rsid w:val="00F302A9"/>
    <w:rsid w:val="00F3137D"/>
    <w:rsid w:val="00F33980"/>
    <w:rsid w:val="00F33D7F"/>
    <w:rsid w:val="00F34022"/>
    <w:rsid w:val="00F345DC"/>
    <w:rsid w:val="00F34D03"/>
    <w:rsid w:val="00F34E6C"/>
    <w:rsid w:val="00F36586"/>
    <w:rsid w:val="00F37D19"/>
    <w:rsid w:val="00F41410"/>
    <w:rsid w:val="00F41646"/>
    <w:rsid w:val="00F41AFE"/>
    <w:rsid w:val="00F41B84"/>
    <w:rsid w:val="00F42B59"/>
    <w:rsid w:val="00F43431"/>
    <w:rsid w:val="00F43CCB"/>
    <w:rsid w:val="00F43E62"/>
    <w:rsid w:val="00F44334"/>
    <w:rsid w:val="00F44D6E"/>
    <w:rsid w:val="00F455D4"/>
    <w:rsid w:val="00F47492"/>
    <w:rsid w:val="00F50459"/>
    <w:rsid w:val="00F51143"/>
    <w:rsid w:val="00F522A5"/>
    <w:rsid w:val="00F53228"/>
    <w:rsid w:val="00F535EE"/>
    <w:rsid w:val="00F54676"/>
    <w:rsid w:val="00F547BC"/>
    <w:rsid w:val="00F559C4"/>
    <w:rsid w:val="00F57635"/>
    <w:rsid w:val="00F6012F"/>
    <w:rsid w:val="00F61774"/>
    <w:rsid w:val="00F61A6B"/>
    <w:rsid w:val="00F62294"/>
    <w:rsid w:val="00F64A46"/>
    <w:rsid w:val="00F65059"/>
    <w:rsid w:val="00F65859"/>
    <w:rsid w:val="00F65F1E"/>
    <w:rsid w:val="00F67129"/>
    <w:rsid w:val="00F67277"/>
    <w:rsid w:val="00F6799B"/>
    <w:rsid w:val="00F67B09"/>
    <w:rsid w:val="00F70B8F"/>
    <w:rsid w:val="00F716D7"/>
    <w:rsid w:val="00F72C6A"/>
    <w:rsid w:val="00F72FCC"/>
    <w:rsid w:val="00F732E1"/>
    <w:rsid w:val="00F74C75"/>
    <w:rsid w:val="00F74F1F"/>
    <w:rsid w:val="00F7521A"/>
    <w:rsid w:val="00F77118"/>
    <w:rsid w:val="00F77F35"/>
    <w:rsid w:val="00F8172F"/>
    <w:rsid w:val="00F81A73"/>
    <w:rsid w:val="00F83168"/>
    <w:rsid w:val="00F836D0"/>
    <w:rsid w:val="00F8386C"/>
    <w:rsid w:val="00F87EDF"/>
    <w:rsid w:val="00F9007F"/>
    <w:rsid w:val="00F907DB"/>
    <w:rsid w:val="00F91AFE"/>
    <w:rsid w:val="00F92547"/>
    <w:rsid w:val="00F93F12"/>
    <w:rsid w:val="00F94249"/>
    <w:rsid w:val="00F955CD"/>
    <w:rsid w:val="00F963BB"/>
    <w:rsid w:val="00F96BF4"/>
    <w:rsid w:val="00FA04C7"/>
    <w:rsid w:val="00FA093A"/>
    <w:rsid w:val="00FA10FF"/>
    <w:rsid w:val="00FA1B7D"/>
    <w:rsid w:val="00FA2945"/>
    <w:rsid w:val="00FA31CF"/>
    <w:rsid w:val="00FA6848"/>
    <w:rsid w:val="00FA6EC3"/>
    <w:rsid w:val="00FA735D"/>
    <w:rsid w:val="00FA7BF8"/>
    <w:rsid w:val="00FB021E"/>
    <w:rsid w:val="00FB2A79"/>
    <w:rsid w:val="00FB3163"/>
    <w:rsid w:val="00FB3244"/>
    <w:rsid w:val="00FB3258"/>
    <w:rsid w:val="00FB56B8"/>
    <w:rsid w:val="00FB5C8F"/>
    <w:rsid w:val="00FB6551"/>
    <w:rsid w:val="00FB6A18"/>
    <w:rsid w:val="00FB72BE"/>
    <w:rsid w:val="00FC0FD4"/>
    <w:rsid w:val="00FC3F0C"/>
    <w:rsid w:val="00FC41CC"/>
    <w:rsid w:val="00FC4AAA"/>
    <w:rsid w:val="00FC54F0"/>
    <w:rsid w:val="00FC6202"/>
    <w:rsid w:val="00FC79FF"/>
    <w:rsid w:val="00FC7F01"/>
    <w:rsid w:val="00FD0237"/>
    <w:rsid w:val="00FD239A"/>
    <w:rsid w:val="00FD268A"/>
    <w:rsid w:val="00FD2964"/>
    <w:rsid w:val="00FD4B84"/>
    <w:rsid w:val="00FD6A6C"/>
    <w:rsid w:val="00FE0110"/>
    <w:rsid w:val="00FE1F47"/>
    <w:rsid w:val="00FE2487"/>
    <w:rsid w:val="00FE3216"/>
    <w:rsid w:val="00FE37D3"/>
    <w:rsid w:val="00FE46EB"/>
    <w:rsid w:val="00FE481A"/>
    <w:rsid w:val="00FE50C8"/>
    <w:rsid w:val="00FE79B4"/>
    <w:rsid w:val="00FF1C96"/>
    <w:rsid w:val="00FF1DE0"/>
    <w:rsid w:val="00FF2B8B"/>
    <w:rsid w:val="00FF3429"/>
    <w:rsid w:val="00FF37C7"/>
    <w:rsid w:val="00FF5692"/>
    <w:rsid w:val="00FF715D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6;&#1084;&#1080;&#1090;&#1077;&#1090;\2024\&#1058;&#1088;&#1072;&#1074;&#1084;&#1072;&#1090;&#1080;&#1079;&#1084;\&#1072;&#1085;&#1072;&#1083;&#1080;&#1079;%20%20&#1089;&#1090;&#1088;&#1086;&#1080;&#1090;&#1077;&#1083;&#1100;&#1089;&#1090;&#1074;&#1086;\&#1059;&#1076;&#1077;&#1083;&#1100;&#1085;&#1099;&#1081;%20&#1074;&#1077;&#1089;%20&#1087;&#1086;&#1090;&#1077;&#1088;&#1087;&#1077;&#1074;&#1096;&#1080;&#1093;%20%20&#1087;&#1086;%20&#1087;&#1086;&#1076;&#1095;&#1080;&#1085;&#1077;&#1085;&#1085;&#1086;&#1089;&#1090;&#1080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0;&#1086;&#1084;&#1080;&#1090;&#1077;&#1090;\2024\&#1058;&#1088;&#1072;&#1074;&#1084;&#1072;&#1090;&#1080;&#1079;&#1084;\&#1072;&#1085;&#1072;&#1083;&#1080;&#1079;%20%20&#1089;&#1090;&#1088;&#1086;&#1080;&#1090;&#1077;&#1083;&#1100;&#1089;&#1090;&#1074;&#1086;\&#1042;&#1086;&#1079;&#1088;&#1072;&#1089;&#1090;%20(&#1087;&#1086;&#1075;&#1080;&#1073;&#1096;&#1080;&#1077;%20&#1080;%20&#1087;&#1086;&#1090;&#1077;&#1088;&#1087;&#1077;&#1074;&#1096;&#1080;&#1077;)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Excel5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9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245920121785225E-4"/>
          <c:y val="0.17355978177965514"/>
          <c:w val="0.97855576597229144"/>
          <c:h val="0.40336398351741548"/>
        </c:manualLayout>
      </c:layout>
      <c:bar3DChart>
        <c:barDir val="col"/>
        <c:grouping val="clustered"/>
        <c:varyColors val="0"/>
        <c:ser>
          <c:idx val="1"/>
          <c:order val="0"/>
          <c:tx>
            <c:v> численность погибших в результате несчастных случаев с тяжелыми последствиями, человек</c:v>
          </c:tx>
          <c:spPr>
            <a:solidFill>
              <a:srgbClr val="FF3300"/>
            </a:solidFill>
            <a:ln w="19050">
              <a:solidFill>
                <a:srgbClr val="C00000"/>
              </a:solidFill>
            </a:ln>
          </c:spPr>
          <c:invertIfNegative val="0"/>
          <c:dLbls>
            <c:dLbl>
              <c:idx val="0"/>
              <c:layout>
                <c:manualLayout>
                  <c:x val="7.6032324285704332E-3"/>
                  <c:y val="-3.1432912231192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291139240506328E-3"/>
                  <c:y val="-3.51309724291021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  <a:latin typeface="Arial Black" panose="020B0A04020102020204" pitchFamily="34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прил.11'!$C$6:$C$7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'К прил.11'!$E$6:$E$7</c:f>
              <c:numCache>
                <c:formatCode>General</c:formatCode>
                <c:ptCount val="2"/>
                <c:pt idx="0">
                  <c:v>7</c:v>
                </c:pt>
                <c:pt idx="1">
                  <c:v>6</c:v>
                </c:pt>
              </c:numCache>
            </c:numRef>
          </c:val>
        </c:ser>
        <c:ser>
          <c:idx val="2"/>
          <c:order val="1"/>
          <c:tx>
            <c:v> численность тяжело травмированных в результате несчастных случаев с тяжелыми последствиями, человек</c:v>
          </c:tx>
          <c:spPr>
            <a:solidFill>
              <a:schemeClr val="accent1"/>
            </a:solidFill>
            <a:ln w="19050">
              <a:solidFill>
                <a:schemeClr val="tx2"/>
              </a:solidFill>
            </a:ln>
          </c:spPr>
          <c:invertIfNegative val="0"/>
          <c:dLbls>
            <c:dLbl>
              <c:idx val="0"/>
              <c:layout>
                <c:manualLayout>
                  <c:x val="2.527511565355578E-3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5825346960668267E-3"/>
                  <c:y val="-2.2146189554816544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2</a:t>
                    </a:r>
                    <a:r>
                      <a:rPr lang="ru-RU" sz="1100">
                        <a:solidFill>
                          <a:sysClr val="windowText" lastClr="000000"/>
                        </a:solidFill>
                      </a:rPr>
                      <a:t>0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прил.11'!$C$6:$C$7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'К прил.11'!$F$6:$F$7</c:f>
              <c:numCache>
                <c:formatCode>General</c:formatCode>
                <c:ptCount val="2"/>
                <c:pt idx="0">
                  <c:v>28</c:v>
                </c:pt>
                <c:pt idx="1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4"/>
        <c:gapDepth val="20"/>
        <c:shape val="cylinder"/>
        <c:axId val="244957184"/>
        <c:axId val="249630720"/>
        <c:axId val="0"/>
      </c:bar3DChart>
      <c:catAx>
        <c:axId val="24495718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9630720"/>
        <c:crosses val="autoZero"/>
        <c:auto val="1"/>
        <c:lblAlgn val="ctr"/>
        <c:lblOffset val="100"/>
        <c:tickMarkSkip val="1"/>
        <c:noMultiLvlLbl val="0"/>
      </c:catAx>
      <c:valAx>
        <c:axId val="2496307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44957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7988459365140821E-2"/>
          <c:y val="0.68072266767992495"/>
          <c:w val="0.96971961538040541"/>
          <c:h val="0.28059338418916102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2023 год</a:t>
            </a:r>
          </a:p>
        </c:rich>
      </c:tx>
      <c:layout>
        <c:manualLayout>
          <c:xMode val="edge"/>
          <c:yMode val="edge"/>
          <c:x val="0.20681148749649367"/>
          <c:y val="0.17210221638961795"/>
        </c:manualLayout>
      </c:layout>
      <c:overlay val="0"/>
    </c:title>
    <c:autoTitleDeleted val="0"/>
    <c:view3D>
      <c:rotX val="40"/>
      <c:rotY val="1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200860075978248E-2"/>
          <c:y val="0.23186443630030118"/>
          <c:w val="0.44218657246670917"/>
          <c:h val="0.48204927609855214"/>
        </c:manualLayout>
      </c:layout>
      <c:pie3DChart>
        <c:varyColors val="1"/>
        <c:ser>
          <c:idx val="0"/>
          <c:order val="0"/>
          <c:tx>
            <c:strRef>
              <c:f>'к потерпевшим'!$D$4</c:f>
              <c:strCache>
                <c:ptCount val="1"/>
                <c:pt idx="0">
                  <c:v> 2023 год</c:v>
                </c:pt>
              </c:strCache>
            </c:strRef>
          </c:tx>
          <c:spPr>
            <a:ln w="38100">
              <a:solidFill>
                <a:srgbClr val="FF3300"/>
              </a:solidFill>
            </a:ln>
          </c:spPr>
          <c:explosion val="4"/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rgbClr val="FF3300"/>
                </a:solidFill>
              </a:ln>
            </c:spPr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 w="19050">
                <a:solidFill>
                  <a:schemeClr val="accent3">
                    <a:lumMod val="60000"/>
                    <a:lumOff val="40000"/>
                  </a:schemeClr>
                </a:solidFill>
              </a:ln>
            </c:spPr>
          </c:dPt>
          <c:dPt>
            <c:idx val="2"/>
            <c:bubble3D val="0"/>
            <c:explosion val="3"/>
            <c:spPr>
              <a:solidFill>
                <a:schemeClr val="accent6"/>
              </a:solidFill>
              <a:ln w="19050"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 w="38100">
                <a:solidFill>
                  <a:srgbClr val="FF3300"/>
                </a:solidFill>
              </a:ln>
            </c:spPr>
          </c:dPt>
          <c:dPt>
            <c:idx val="4"/>
            <c:bubble3D val="0"/>
            <c:spPr>
              <a:solidFill>
                <a:srgbClr val="FF9999"/>
              </a:solidFill>
              <a:ln w="38100">
                <a:solidFill>
                  <a:srgbClr val="FF3300"/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 w="38100">
                <a:solidFill>
                  <a:srgbClr val="FF3300"/>
                </a:solidFill>
              </a:ln>
            </c:spPr>
          </c:dPt>
          <c:dLbls>
            <c:dLbl>
              <c:idx val="0"/>
              <c:layout>
                <c:manualLayout>
                  <c:x val="5.2846476642161522E-2"/>
                  <c:y val="-0.152905736121467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6980986163026732E-2"/>
                  <c:y val="-9.2743469914863527E-2"/>
                </c:manualLayout>
              </c:layout>
              <c:tx>
                <c:rich>
                  <a:bodyPr/>
                  <a:lstStyle/>
                  <a:p>
                    <a:r>
                      <a:rPr lang="ru-RU" sz="1050"/>
                      <a:t>20</a:t>
                    </a:r>
                    <a:r>
                      <a:rPr lang="en-US" sz="1050"/>
                      <a:t>,</a:t>
                    </a:r>
                    <a:r>
                      <a:rPr lang="ru-RU" sz="1050"/>
                      <a:t>0%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3642285023821618"/>
                  <c:y val="6.879223013547708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>
                  <a:lumMod val="95000"/>
                </a:schemeClr>
              </a:solidFill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'к потерпевшим'!$C$5:$C$7</c:f>
              <c:strCache>
                <c:ptCount val="3"/>
                <c:pt idx="0">
                  <c:v> организации республиканской формы собственности</c:v>
                </c:pt>
                <c:pt idx="1">
                  <c:v> организации коммунальной формы собственности</c:v>
                </c:pt>
                <c:pt idx="2">
                  <c:v> организации  без ведомственной подчиненности</c:v>
                </c:pt>
              </c:strCache>
            </c:strRef>
          </c:cat>
          <c:val>
            <c:numRef>
              <c:f>'к потерпевшим'!$D$5:$D$7</c:f>
              <c:numCache>
                <c:formatCode>0.0%</c:formatCode>
                <c:ptCount val="3"/>
                <c:pt idx="0">
                  <c:v>0.14299999999999999</c:v>
                </c:pt>
                <c:pt idx="1">
                  <c:v>0.2</c:v>
                </c:pt>
                <c:pt idx="2">
                  <c:v>0.65700000000000003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19805303902996965"/>
          <c:y val="0.76338148248710291"/>
          <c:w val="0.666402076290315"/>
          <c:h val="0.20382176421495701"/>
        </c:manualLayout>
      </c:layout>
      <c:overlay val="0"/>
      <c:spPr>
        <a:noFill/>
      </c:spPr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>
                <a:latin typeface="Times New Roman" panose="02020603050405020304" pitchFamily="18" charset="0"/>
                <a:cs typeface="Times New Roman" panose="02020603050405020304" pitchFamily="18" charset="0"/>
              </a:rPr>
              <a:t>2024 год</a:t>
            </a:r>
          </a:p>
        </c:rich>
      </c:tx>
      <c:layout>
        <c:manualLayout>
          <c:xMode val="edge"/>
          <c:yMode val="edge"/>
          <c:x val="0.45495809798950648"/>
          <c:y val="7.777091831359885E-2"/>
        </c:manualLayout>
      </c:layout>
      <c:overlay val="0"/>
    </c:title>
    <c:autoTitleDeleted val="0"/>
    <c:view3D>
      <c:rotX val="40"/>
      <c:rotY val="1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171136461153115E-2"/>
          <c:y val="0.13938755010769635"/>
          <c:w val="0.9138499777335598"/>
          <c:h val="0.82338115640748588"/>
        </c:manualLayout>
      </c:layout>
      <c:pie3DChart>
        <c:varyColors val="1"/>
        <c:ser>
          <c:idx val="0"/>
          <c:order val="0"/>
          <c:tx>
            <c:strRef>
              <c:f>'к потерпевшим'!$F$4</c:f>
              <c:strCache>
                <c:ptCount val="1"/>
                <c:pt idx="0">
                  <c:v> 2024 год</c:v>
                </c:pt>
              </c:strCache>
            </c:strRef>
          </c:tx>
          <c:spPr>
            <a:ln>
              <a:solidFill>
                <a:srgbClr val="8E0000"/>
              </a:solidFill>
            </a:ln>
          </c:spPr>
          <c:explosion val="1"/>
          <c:dPt>
            <c:idx val="0"/>
            <c:bubble3D val="0"/>
            <c:spPr>
              <a:solidFill>
                <a:srgbClr val="C00000"/>
              </a:solidFill>
              <a:ln>
                <a:solidFill>
                  <a:srgbClr val="FF6699"/>
                </a:solidFill>
              </a:ln>
            </c:spPr>
          </c:dPt>
          <c:dPt>
            <c:idx val="1"/>
            <c:bubble3D val="0"/>
            <c:explosion val="3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accent3">
                    <a:lumMod val="40000"/>
                    <a:lumOff val="60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accent6"/>
              </a:solidFill>
              <a:ln>
                <a:solidFill>
                  <a:schemeClr val="accent6">
                    <a:lumMod val="40000"/>
                    <a:lumOff val="60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rgbClr val="8E0000"/>
                </a:solidFill>
              </a:ln>
            </c:spPr>
          </c:dPt>
          <c:dPt>
            <c:idx val="4"/>
            <c:bubble3D val="0"/>
            <c:spPr>
              <a:solidFill>
                <a:srgbClr val="FF9999"/>
              </a:solidFill>
              <a:ln>
                <a:solidFill>
                  <a:srgbClr val="8E0000"/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rgbClr val="8E0000"/>
                </a:solidFill>
              </a:ln>
            </c:spPr>
          </c:dPt>
          <c:dLbls>
            <c:dLbl>
              <c:idx val="0"/>
              <c:layout>
                <c:manualLayout>
                  <c:x val="-2.2251803576077735E-3"/>
                  <c:y val="-0.1844931282650721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050"/>
                      <a:t>73,1</a:t>
                    </a:r>
                    <a:r>
                      <a:rPr lang="en-US" sz="1050"/>
                      <a:t>%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>
                  <a:lumMod val="95000"/>
                </a:schemeClr>
              </a:solidFill>
            </c:spPr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потерпевшим'!$E$5:$E$7</c:f>
              <c:strCache>
                <c:ptCount val="3"/>
                <c:pt idx="0">
                  <c:v> организации республиканской формы собственности</c:v>
                </c:pt>
                <c:pt idx="1">
                  <c:v> организации коммунальной формы собственности</c:v>
                </c:pt>
                <c:pt idx="2">
                  <c:v> организации  без ведомственной подчиненности</c:v>
                </c:pt>
              </c:strCache>
            </c:strRef>
          </c:cat>
          <c:val>
            <c:numRef>
              <c:f>'к потерпевшим'!$F$5:$F$7</c:f>
              <c:numCache>
                <c:formatCode>0.0%</c:formatCode>
                <c:ptCount val="3"/>
                <c:pt idx="0">
                  <c:v>3.7999999999999999E-2</c:v>
                </c:pt>
                <c:pt idx="1">
                  <c:v>0.23100000000000001</c:v>
                </c:pt>
                <c:pt idx="2">
                  <c:v>0.73099999999999998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27585034191567E-4"/>
          <c:y val="0.11607832460432892"/>
          <c:w val="0.98359549068963004"/>
          <c:h val="0.45170120468764391"/>
        </c:manualLayout>
      </c:layout>
      <c:bar3DChart>
        <c:barDir val="col"/>
        <c:grouping val="clustered"/>
        <c:varyColors val="0"/>
        <c:ser>
          <c:idx val="0"/>
          <c:order val="0"/>
          <c:tx>
            <c:v>Численность погибших на производстве в 2023 году., человек</c:v>
          </c:tx>
          <c:spPr>
            <a:solidFill>
              <a:srgbClr val="FF5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rgbClr val="FF5050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1.263755782677789E-3"/>
                  <c:y val="-5.53654738870413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637557826778354E-3"/>
                  <c:y val="-7.38206318493884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0550231307111559E-3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 подчиненности</c:v>
                </c:pt>
              </c:strCache>
            </c:strRef>
          </c:cat>
          <c:val>
            <c:numRef>
              <c:f>'К прил.11'!$D$6:$D$8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v>Численность погибших на производстве в 2024 году, чеовек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5.0550231307111559E-3"/>
                  <c:y val="-9.2275789811735592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87789133889449E-3"/>
                  <c:y val="-9.2275789811735592E-3"/>
                </c:manualLayout>
              </c:layout>
              <c:tx>
                <c:rich>
                  <a:bodyPr/>
                  <a:lstStyle/>
                  <a:p>
                    <a:r>
                      <a:rPr lang="ru-RU" sz="1050">
                        <a:solidFill>
                          <a:srgbClr val="006C31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5848035415868442E-3"/>
                  <c:y val="-1.2928568454636533E-2"/>
                </c:manualLayout>
              </c:layout>
              <c:tx>
                <c:rich>
                  <a:bodyPr/>
                  <a:lstStyle/>
                  <a:p>
                    <a:r>
                      <a:rPr lang="en-US" sz="1050">
                        <a:solidFill>
                          <a:sysClr val="windowText" lastClr="000000"/>
                        </a:solidFill>
                      </a:rPr>
                      <a:t>4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>
                    <a:solidFill>
                      <a:srgbClr val="006C31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 подчиненности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v>Количество потерпевших, получивших тяжелые производственные травмы в 2023 году,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909208044124623E-2"/>
                  <c:y val="-1.29218719019345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80829404099314E-3"/>
                  <c:y val="-9.22098504515959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178570806090671E-2"/>
                  <c:y val="-1.2918669202816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 подчиненности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19</c:v>
                </c:pt>
              </c:numCache>
            </c:numRef>
          </c:val>
        </c:ser>
        <c:ser>
          <c:idx val="3"/>
          <c:order val="3"/>
          <c:tx>
            <c:v>Количество потерпевших, получивших тяжелые производственные травмы в 2024 году,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layout>
                <c:manualLayout>
                  <c:x val="1.2657130299675001E-2"/>
                  <c:y val="-7.40177459002838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18855635961E-2"/>
                  <c:y val="-1.4803694884280976E-2"/>
                </c:manualLayout>
              </c:layout>
              <c:tx>
                <c:rich>
                  <a:bodyPr/>
                  <a:lstStyle/>
                  <a:p>
                    <a:r>
                      <a:rPr lang="en-US" sz="1050">
                        <a:solidFill>
                          <a:srgbClr val="FF0000"/>
                        </a:solidFill>
                      </a:rPr>
                      <a:t>5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511341450017634E-2"/>
                  <c:y val="-1.6654035415446852E-2"/>
                </c:manualLayout>
              </c:layout>
              <c:tx>
                <c:rich>
                  <a:bodyPr/>
                  <a:lstStyle/>
                  <a:p>
                    <a:r>
                      <a:rPr lang="ru-RU" sz="1050">
                        <a:solidFill>
                          <a:srgbClr val="006C31"/>
                        </a:solidFill>
                      </a:rPr>
                      <a:t>14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>
                    <a:solidFill>
                      <a:srgbClr val="006C31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 подчиненности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1</c:v>
                </c:pt>
                <c:pt idx="1">
                  <c:v>5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box"/>
        <c:axId val="300477824"/>
        <c:axId val="328762112"/>
        <c:axId val="0"/>
      </c:bar3DChart>
      <c:catAx>
        <c:axId val="30047782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28762112"/>
        <c:crosses val="autoZero"/>
        <c:auto val="1"/>
        <c:lblAlgn val="ctr"/>
        <c:lblOffset val="100"/>
        <c:tickMarkSkip val="1"/>
        <c:noMultiLvlLbl val="0"/>
      </c:catAx>
      <c:valAx>
        <c:axId val="3287621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300477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4540526293759718E-2"/>
          <c:y val="0.71815018943133646"/>
          <c:w val="0.95425455451553665"/>
          <c:h val="0.26148729868951159"/>
        </c:manualLayout>
      </c:layout>
      <c:overlay val="0"/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/>
              <a:t>погибшие на производстве</a:t>
            </a:r>
          </a:p>
        </c:rich>
      </c:tx>
      <c:layout>
        <c:manualLayout>
          <c:xMode val="edge"/>
          <c:yMode val="edge"/>
          <c:x val="0.14503916753171128"/>
          <c:y val="0.14442388451443569"/>
        </c:manualLayout>
      </c:layout>
      <c:overlay val="0"/>
    </c:title>
    <c:autoTitleDeleted val="0"/>
    <c:view3D>
      <c:rotX val="40"/>
      <c:rotY val="189"/>
      <c:depthPercent val="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191553788895359"/>
          <c:y val="0.26505932387044789"/>
          <c:w val="0.34069747069397671"/>
          <c:h val="0.37112160979877518"/>
        </c:manualLayout>
      </c:layout>
      <c:pie3DChart>
        <c:varyColors val="1"/>
        <c:ser>
          <c:idx val="0"/>
          <c:order val="0"/>
          <c:tx>
            <c:strRef>
              <c:f>'к возрасту'!$D$4</c:f>
              <c:strCache>
                <c:ptCount val="1"/>
                <c:pt idx="0">
                  <c:v>Погибшие на производстве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>
                  <a:alpha val="84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C00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explosion val="0"/>
            <c:spPr>
              <a:solidFill>
                <a:srgbClr val="7030A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70C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explosion val="1"/>
            <c:spPr>
              <a:solidFill>
                <a:schemeClr val="accent6">
                  <a:alpha val="9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explosion val="2"/>
            <c:spPr>
              <a:solidFill>
                <a:srgbClr val="FFC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0"/>
                  <c:y val="4.0740740740740744E-2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1</a:t>
                    </a:r>
                    <a:r>
                      <a:rPr lang="en-US" sz="1100"/>
                      <a:t>6,</a:t>
                    </a:r>
                    <a:r>
                      <a:rPr lang="ru-RU" sz="1100"/>
                      <a:t>7</a:t>
                    </a:r>
                    <a:r>
                      <a:rPr lang="en-US" sz="1100"/>
                      <a:t>%</a:t>
                    </a:r>
                    <a:endParaRPr lang="ru-RU" sz="1100"/>
                  </a:p>
                  <a:p>
                    <a:r>
                      <a:rPr lang="ru-RU" sz="1100"/>
                      <a:t>(1 чел.)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7299035369774913E-2"/>
                  <c:y val="7.4074074074074077E-3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50</a:t>
                    </a:r>
                    <a:r>
                      <a:rPr lang="en-US" sz="1100"/>
                      <a:t>,</a:t>
                    </a:r>
                    <a:r>
                      <a:rPr lang="ru-RU" sz="1100"/>
                      <a:t>0</a:t>
                    </a:r>
                    <a:r>
                      <a:rPr lang="en-US" sz="1100"/>
                      <a:t>%</a:t>
                    </a:r>
                    <a:endParaRPr lang="ru-RU" sz="1100"/>
                  </a:p>
                  <a:p>
                    <a:r>
                      <a:rPr lang="ru-RU" sz="1100"/>
                      <a:t>(3 чел.)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9.9332289971694507E-2"/>
                  <c:y val="-5.0424862565253817E-2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16</a:t>
                    </a:r>
                    <a:r>
                      <a:rPr lang="en-US" sz="1100"/>
                      <a:t>,</a:t>
                    </a:r>
                    <a:r>
                      <a:rPr lang="ru-RU" sz="1100"/>
                      <a:t>7</a:t>
                    </a:r>
                    <a:r>
                      <a:rPr lang="en-US" sz="1100"/>
                      <a:t>%</a:t>
                    </a:r>
                    <a:r>
                      <a:rPr lang="ru-RU" sz="1100"/>
                      <a:t> </a:t>
                    </a:r>
                  </a:p>
                  <a:p>
                    <a:r>
                      <a:rPr lang="ru-RU" sz="1100"/>
                      <a:t>(1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8.0501557973441745E-2"/>
                  <c:y val="-0.13147699586878994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16</a:t>
                    </a:r>
                    <a:r>
                      <a:rPr lang="en-US" sz="1100"/>
                      <a:t>,</a:t>
                    </a:r>
                    <a:r>
                      <a:rPr lang="ru-RU" sz="1100"/>
                      <a:t>7</a:t>
                    </a:r>
                    <a:r>
                      <a:rPr lang="en-US" sz="1100"/>
                      <a:t>%</a:t>
                    </a:r>
                    <a:endParaRPr lang="ru-RU" sz="1100"/>
                  </a:p>
                  <a:p>
                    <a:r>
                      <a:rPr lang="ru-RU" sz="1100"/>
                      <a:t>(1</a:t>
                    </a:r>
                    <a:r>
                      <a:rPr lang="ru-RU" sz="1100" baseline="0"/>
                      <a:t>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возрасту'!$C$5:$C$10</c:f>
              <c:strCache>
                <c:ptCount val="6"/>
                <c:pt idx="0">
                  <c:v> до 25  лет</c:v>
                </c:pt>
                <c:pt idx="1">
                  <c:v>от 25 до 29 лет
(включительно)</c:v>
                </c:pt>
                <c:pt idx="2">
                  <c:v> от 30 до 39 лет
(включительно)</c:v>
                </c:pt>
                <c:pt idx="3">
                  <c:v> от 40 до 49 лет
(включительно)</c:v>
                </c:pt>
                <c:pt idx="4">
                  <c:v> от 50 до 54 лет
(включительно)</c:v>
                </c:pt>
                <c:pt idx="5">
                  <c:v> 55 лет и старше </c:v>
                </c:pt>
              </c:strCache>
            </c:strRef>
          </c:cat>
          <c:val>
            <c:numRef>
              <c:f>'к возрасту'!$D$5:$D$10</c:f>
              <c:numCache>
                <c:formatCode>0.0%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0.16700000000000001</c:v>
                </c:pt>
                <c:pt idx="3">
                  <c:v>0.5</c:v>
                </c:pt>
                <c:pt idx="4">
                  <c:v>0.16700000000000001</c:v>
                </c:pt>
                <c:pt idx="5">
                  <c:v>0.16700000000000001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83486757010748169"/>
          <c:w val="1"/>
          <c:h val="0.15773881490620123"/>
        </c:manualLayout>
      </c:layout>
      <c:overlay val="0"/>
      <c:spPr>
        <a:noFill/>
      </c:spPr>
      <c:txPr>
        <a:bodyPr/>
        <a:lstStyle/>
        <a:p>
          <a:pPr rtl="0"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/>
              <a:t>потерпевшие, получившие тяжелые производственные травмы</a:t>
            </a:r>
          </a:p>
        </c:rich>
      </c:tx>
      <c:layout>
        <c:manualLayout>
          <c:xMode val="edge"/>
          <c:yMode val="edge"/>
          <c:x val="0.16818515993976985"/>
          <c:y val="8.0395162586909333E-3"/>
        </c:manualLayout>
      </c:layout>
      <c:overlay val="0"/>
    </c:title>
    <c:autoTitleDeleted val="0"/>
    <c:view3D>
      <c:rotX val="40"/>
      <c:rotY val="188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601080537455618"/>
          <c:y val="0.21242544288795756"/>
          <c:w val="0.64673480294523378"/>
          <c:h val="0.59845696038640561"/>
        </c:manualLayout>
      </c:layout>
      <c:pie3DChart>
        <c:varyColors val="1"/>
        <c:ser>
          <c:idx val="0"/>
          <c:order val="0"/>
          <c:tx>
            <c:strRef>
              <c:f>'к возрасту'!$F$4</c:f>
              <c:strCache>
                <c:ptCount val="1"/>
                <c:pt idx="0">
                  <c:v>Потерпевшие, получившие тяжелые производственные травмы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C0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7030A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70C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6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3.9340472065325399E-2"/>
                  <c:y val="5.2273950195273845E-2"/>
                </c:manualLayout>
              </c:layout>
              <c:tx>
                <c:rich>
                  <a:bodyPr/>
                  <a:lstStyle/>
                  <a:p>
                    <a:r>
                      <a:rPr lang="ru-RU" sz="1100" spc="-120" baseline="0"/>
                      <a:t>5</a:t>
                    </a:r>
                    <a:r>
                      <a:rPr lang="en-US" sz="1100" spc="-120" baseline="0"/>
                      <a:t>,</a:t>
                    </a:r>
                    <a:r>
                      <a:rPr lang="ru-RU" sz="1100" spc="-120" baseline="0"/>
                      <a:t>0</a:t>
                    </a:r>
                    <a:r>
                      <a:rPr lang="en-US" sz="1100" spc="-120" baseline="0"/>
                      <a:t>%</a:t>
                    </a:r>
                    <a:endParaRPr lang="ru-RU" sz="1100" spc="-120" baseline="0"/>
                  </a:p>
                  <a:p>
                    <a:r>
                      <a:rPr lang="ru-RU" sz="1100" spc="-120" baseline="0"/>
                      <a:t>(1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0264862128590093E-2"/>
                  <c:y val="3.1950050011157645E-2"/>
                </c:manualLayout>
              </c:layout>
              <c:tx>
                <c:rich>
                  <a:bodyPr/>
                  <a:lstStyle/>
                  <a:p>
                    <a:r>
                      <a:rPr lang="ru-RU" sz="1100" spc="-120" baseline="0"/>
                      <a:t>5</a:t>
                    </a:r>
                    <a:r>
                      <a:rPr lang="en-US" sz="1100" spc="-120" baseline="0"/>
                      <a:t>,</a:t>
                    </a:r>
                    <a:r>
                      <a:rPr lang="ru-RU" sz="1100" spc="-120" baseline="0"/>
                      <a:t>0</a:t>
                    </a:r>
                    <a:r>
                      <a:rPr lang="en-US" sz="1100" spc="-120" baseline="0"/>
                      <a:t>%</a:t>
                    </a:r>
                    <a:endParaRPr lang="ru-RU" sz="1100" spc="-120" baseline="0"/>
                  </a:p>
                  <a:p>
                    <a:r>
                      <a:rPr lang="ru-RU" sz="1100" spc="-120" baseline="0"/>
                      <a:t>(1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100" spc="-120" baseline="0"/>
                      <a:t>25</a:t>
                    </a:r>
                    <a:r>
                      <a:rPr lang="en-US" sz="1100" spc="-120" baseline="0"/>
                      <a:t>,</a:t>
                    </a:r>
                    <a:r>
                      <a:rPr lang="ru-RU" sz="1100" spc="-120" baseline="0"/>
                      <a:t>0</a:t>
                    </a:r>
                    <a:r>
                      <a:rPr lang="en-US" sz="1100" spc="-120" baseline="0"/>
                      <a:t>%</a:t>
                    </a:r>
                    <a:endParaRPr lang="ru-RU" sz="1100" spc="-120" baseline="0"/>
                  </a:p>
                  <a:p>
                    <a:r>
                      <a:rPr lang="ru-RU" sz="1100" spc="-120" baseline="0"/>
                      <a:t>(5 чел.)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9446148845554269E-2"/>
                  <c:y val="0.13792732198550312"/>
                </c:manualLayout>
              </c:layout>
              <c:tx>
                <c:rich>
                  <a:bodyPr/>
                  <a:lstStyle/>
                  <a:p>
                    <a:r>
                      <a:rPr lang="ru-RU" sz="1100" spc="-120" baseline="0"/>
                      <a:t>35</a:t>
                    </a:r>
                    <a:r>
                      <a:rPr lang="en-US" sz="1100" spc="-120" baseline="0"/>
                      <a:t>,</a:t>
                    </a:r>
                    <a:r>
                      <a:rPr lang="ru-RU" sz="1100" spc="-120" baseline="0"/>
                      <a:t>0</a:t>
                    </a:r>
                    <a:r>
                      <a:rPr lang="en-US" sz="1100" spc="-120" baseline="0"/>
                      <a:t>%</a:t>
                    </a:r>
                    <a:endParaRPr lang="ru-RU" sz="1100" spc="-120" baseline="0"/>
                  </a:p>
                  <a:p>
                    <a:r>
                      <a:rPr lang="ru-RU" sz="1100" spc="-120" baseline="0"/>
                      <a:t>(7 чел.)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3976851827405479"/>
                  <c:y val="-9.5261111904003118E-2"/>
                </c:manualLayout>
              </c:layout>
              <c:tx>
                <c:rich>
                  <a:bodyPr/>
                  <a:lstStyle/>
                  <a:p>
                    <a:r>
                      <a:rPr lang="en-US" sz="1100" spc="-120" baseline="0"/>
                      <a:t>1</a:t>
                    </a:r>
                    <a:r>
                      <a:rPr lang="ru-RU" sz="1100" spc="-120" baseline="0"/>
                      <a:t>5</a:t>
                    </a:r>
                    <a:r>
                      <a:rPr lang="en-US" sz="1100" spc="-120" baseline="0"/>
                      <a:t>,</a:t>
                    </a:r>
                    <a:r>
                      <a:rPr lang="ru-RU" sz="1100" spc="-120" baseline="0"/>
                      <a:t>0</a:t>
                    </a:r>
                    <a:r>
                      <a:rPr lang="en-US" sz="1100" spc="-120" baseline="0"/>
                      <a:t>%</a:t>
                    </a:r>
                    <a:endParaRPr lang="ru-RU" sz="1100" spc="-120" baseline="0"/>
                  </a:p>
                  <a:p>
                    <a:r>
                      <a:rPr lang="ru-RU" sz="1100" spc="-120" baseline="0"/>
                      <a:t>(3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 sz="1100" spc="-120" baseline="0"/>
                      <a:t>15</a:t>
                    </a:r>
                    <a:r>
                      <a:rPr lang="en-US" sz="1100" spc="-120" baseline="0"/>
                      <a:t>,</a:t>
                    </a:r>
                    <a:r>
                      <a:rPr lang="ru-RU" sz="1100" spc="-120" baseline="0"/>
                      <a:t>0</a:t>
                    </a:r>
                    <a:r>
                      <a:rPr lang="en-US" sz="1100" spc="-120" baseline="0"/>
                      <a:t>%</a:t>
                    </a:r>
                    <a:endParaRPr lang="ru-RU" sz="1100" spc="-120" baseline="0"/>
                  </a:p>
                  <a:p>
                    <a:r>
                      <a:rPr lang="ru-RU" sz="1100" spc="-120" baseline="0"/>
                      <a:t>(3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spc="-12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возрасту'!$E$5:$E$10</c:f>
              <c:strCache>
                <c:ptCount val="6"/>
                <c:pt idx="0">
                  <c:v> до 25  лет</c:v>
                </c:pt>
                <c:pt idx="1">
                  <c:v>от 25 до 29 лет
(включительно)</c:v>
                </c:pt>
                <c:pt idx="2">
                  <c:v> от 30 до 39 лет
(включительно)</c:v>
                </c:pt>
                <c:pt idx="3">
                  <c:v> от 40 до 49 лет
(включительно)</c:v>
                </c:pt>
                <c:pt idx="4">
                  <c:v> от 50 до 54 лет
(включительно)</c:v>
                </c:pt>
                <c:pt idx="5">
                  <c:v> 55 лет и старше </c:v>
                </c:pt>
              </c:strCache>
            </c:strRef>
          </c:cat>
          <c:val>
            <c:numRef>
              <c:f>'к возрасту'!$F$5:$F$10</c:f>
              <c:numCache>
                <c:formatCode>0.0%</c:formatCode>
                <c:ptCount val="6"/>
                <c:pt idx="0">
                  <c:v>0.05</c:v>
                </c:pt>
                <c:pt idx="1">
                  <c:v>0.05</c:v>
                </c:pt>
                <c:pt idx="2">
                  <c:v>0.25</c:v>
                </c:pt>
                <c:pt idx="3">
                  <c:v>0.35</c:v>
                </c:pt>
                <c:pt idx="4">
                  <c:v>0.15</c:v>
                </c:pt>
                <c:pt idx="5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80"/>
      <c:rAngAx val="1"/>
    </c:view3D>
    <c:floor>
      <c:thickness val="0"/>
      <c:spPr>
        <a:ln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336149382566013E-3"/>
          <c:y val="0.10722201658699647"/>
          <c:w val="0.98232001233044497"/>
          <c:h val="0.4296368387861048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факторам'!$D$3</c:f>
              <c:strCache>
                <c:ptCount val="1"/>
                <c:pt idx="0">
                  <c:v>Погибшие на производстве</c:v>
                </c:pt>
              </c:strCache>
            </c:strRef>
          </c:tx>
          <c:spPr>
            <a:solidFill>
              <a:srgbClr val="FF0000"/>
            </a:solidFill>
            <a:ln w="38100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Lbls>
            <c:dLbl>
              <c:idx val="0"/>
              <c:layout>
                <c:manualLayout>
                  <c:x val="7.7675487016410274E-3"/>
                  <c:y val="-7.42352933935995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7873116421139773E-3"/>
                  <c:y val="1.86771490810449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3500760414789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05631653629417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493506493506493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3.8876888526491438E-3"/>
                  <c:y val="6.842845080768878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факторам'!$C$4:$C$7</c:f>
              <c:strCache>
                <c:ptCount val="4"/>
                <c:pt idx="0">
                  <c:v>Паденние потерпевшего с высоты</c:v>
                </c:pt>
                <c:pt idx="1">
                  <c:v>Падение, обрушение конструкций
зданий, сооружений, обвалы
материалов, грунта и т.п.</c:v>
                </c:pt>
                <c:pt idx="2">
                  <c:v>Падение потерпевшего
во время передвижения</c:v>
                </c:pt>
                <c:pt idx="3">
                  <c:v>Воздействие движущихся,
разлетающихся, вращающихся
предметов, деталей и т.п.</c:v>
                </c:pt>
              </c:strCache>
            </c:strRef>
          </c:cat>
          <c:val>
            <c:numRef>
              <c:f>'к факторам'!$D$4:$D$7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'к факторам'!$E$3</c:f>
              <c:strCache>
                <c:ptCount val="1"/>
                <c:pt idx="0">
                  <c:v>Потерпевшие, получившие тяжелые прозводственные травмы</c:v>
                </c:pt>
              </c:strCache>
            </c:strRef>
          </c:tx>
          <c:spPr>
            <a:solidFill>
              <a:srgbClr val="0070C0"/>
            </a:solidFill>
            <a:ln w="38100">
              <a:noFill/>
            </a:ln>
          </c:spPr>
          <c:invertIfNegative val="0"/>
          <c:dLbls>
            <c:dLbl>
              <c:idx val="0"/>
              <c:layout>
                <c:manualLayout>
                  <c:x val="7.7919977001642054E-3"/>
                  <c:y val="-5.55933123321642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468797525924342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643835546663817E-2"/>
                  <c:y val="-5.5829231130379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2937595051849635E-3"/>
                  <c:y val="-1.86097437101264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8960497854956927E-3"/>
                  <c:y val="-1.84558836243340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6.4935064935064939E-3"/>
                  <c:y val="-6.811067160887786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6.468797525924342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факторам'!$C$4:$C$7</c:f>
              <c:strCache>
                <c:ptCount val="4"/>
                <c:pt idx="0">
                  <c:v>Паденние потерпевшего с высоты</c:v>
                </c:pt>
                <c:pt idx="1">
                  <c:v>Падение, обрушение конструкций
зданий, сооружений, обвалы
материалов, грунта и т.п.</c:v>
                </c:pt>
                <c:pt idx="2">
                  <c:v>Падение потерпевшего
во время передвижения</c:v>
                </c:pt>
                <c:pt idx="3">
                  <c:v>Воздействие движущихся,
разлетающихся, вращающихся
предметов, деталей и т.п.</c:v>
                </c:pt>
              </c:strCache>
            </c:strRef>
          </c:cat>
          <c:val>
            <c:numRef>
              <c:f>'к факторам'!$E$4:$E$7</c:f>
              <c:numCache>
                <c:formatCode>General</c:formatCode>
                <c:ptCount val="4"/>
                <c:pt idx="0">
                  <c:v>15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gapDepth val="174"/>
        <c:shape val="cylinder"/>
        <c:axId val="100537856"/>
        <c:axId val="100539392"/>
        <c:axId val="0"/>
      </c:bar3DChart>
      <c:catAx>
        <c:axId val="100537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700">
            <a:solidFill>
              <a:prstClr val="black"/>
            </a:solidFill>
          </a:ln>
        </c:spPr>
        <c:txPr>
          <a:bodyPr rot="0" vert="horz" anchor="t" anchorCtr="0"/>
          <a:lstStyle/>
          <a:p>
            <a:pPr>
              <a:defRPr sz="1100" b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0539392"/>
        <c:crosses val="autoZero"/>
        <c:auto val="0"/>
        <c:lblAlgn val="ctr"/>
        <c:lblOffset val="100"/>
        <c:noMultiLvlLbl val="0"/>
      </c:catAx>
      <c:valAx>
        <c:axId val="1005393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0053785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4.3580179554747779E-2"/>
          <c:y val="0.8713054412974498"/>
          <c:w val="0.91853850695431705"/>
          <c:h val="0.11039869526634315"/>
        </c:manualLayout>
      </c:layout>
      <c:overlay val="0"/>
      <c:txPr>
        <a:bodyPr/>
        <a:lstStyle/>
        <a:p>
          <a:pPr>
            <a:defRPr sz="8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16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5971522405094442"/>
          <c:y val="0.15792581393446117"/>
          <c:w val="0.46065553212493482"/>
          <c:h val="0.51069314798040089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explosion val="5"/>
          <c:dPt>
            <c:idx val="0"/>
            <c:bubble3D val="0"/>
            <c:spPr>
              <a:solidFill>
                <a:srgbClr val="002060">
                  <a:alpha val="95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"/>
            <c:bubble3D val="0"/>
            <c:spPr>
              <a:solidFill>
                <a:srgbClr val="C00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2"/>
            <c:bubble3D val="0"/>
            <c:spPr>
              <a:solidFill>
                <a:srgbClr val="7030A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3"/>
            <c:bubble3D val="0"/>
            <c:spPr>
              <a:solidFill>
                <a:srgbClr val="FF66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4"/>
            <c:bubble3D val="0"/>
            <c:spPr>
              <a:solidFill>
                <a:srgbClr val="8E0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5"/>
            <c:bubble3D val="0"/>
            <c:spPr>
              <a:solidFill>
                <a:schemeClr val="accent5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6"/>
            <c:bubble3D val="0"/>
            <c:spPr>
              <a:solidFill>
                <a:schemeClr val="accent5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7"/>
            <c:bubble3D val="0"/>
            <c:spPr>
              <a:solidFill>
                <a:schemeClr val="accent6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8"/>
            <c:bubble3D val="0"/>
            <c:spPr>
              <a:solidFill>
                <a:schemeClr val="accent6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9"/>
            <c:bubble3D val="0"/>
            <c:spPr>
              <a:solidFill>
                <a:srgbClr val="FFC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0"/>
            <c:bubble3D val="0"/>
            <c:spPr>
              <a:solidFill>
                <a:srgbClr val="00FF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1"/>
            <c:bubble3D val="0"/>
            <c:spPr>
              <a:solidFill>
                <a:schemeClr val="bg1">
                  <a:lumMod val="65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2"/>
            <c:bubble3D val="0"/>
            <c:spPr>
              <a:solidFill>
                <a:schemeClr val="bg2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3"/>
            <c:bubble3D val="0"/>
            <c:spPr>
              <a:solidFill>
                <a:schemeClr val="accent6">
                  <a:lumMod val="40000"/>
                  <a:lumOff val="6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4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5"/>
            <c:bubble3D val="0"/>
            <c:spPr>
              <a:solidFill>
                <a:srgbClr val="FF6699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6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Lbls>
            <c:dLbl>
              <c:idx val="0"/>
              <c:layout>
                <c:manualLayout>
                  <c:x val="-3.7351404228607825E-2"/>
                  <c:y val="-2.5286700028723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2125980706940706E-2"/>
                  <c:y val="-2.286165356802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6047518573755515E-3"/>
                  <c:y val="9.63832537617995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39141321704149E-2"/>
                  <c:y val="2.2075183410474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508393438005157E-2"/>
                  <c:y val="2.7607484012844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8447728184347356E-3"/>
                  <c:y val="4.5959567650519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3440218399813776E-2"/>
                  <c:y val="1.975802973542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8019920974695181E-2"/>
                  <c:y val="-2.7200598971954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8033045044065138E-2"/>
                  <c:y val="4.8167666841018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9168153533284146E-2"/>
                  <c:y val="5.3809457565026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4.3563722705626105E-2"/>
                  <c:y val="4.1003905341288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6.7570430563304057E-2"/>
                  <c:y val="2.7404912766577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8.4125922138689413E-2"/>
                  <c:y val="-9.534643749057934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0.1021520943777566"/>
                  <c:y val="-5.81235716548952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вине'!$E$4:$E$7</c:f>
              <c:strCache>
                <c:ptCount val="4"/>
                <c:pt idx="0">
                  <c:v> Вина самого потерпевшего</c:v>
                </c:pt>
                <c:pt idx="1">
                  <c:v> Вина нанимателя </c:v>
                </c:pt>
                <c:pt idx="2">
                  <c:v> Вина нанимателя и потерпевшего </c:v>
                </c:pt>
                <c:pt idx="3">
                  <c:v> Отсутствие вины нанимателя (работодателя) и потерпевшего </c:v>
                </c:pt>
              </c:strCache>
            </c:strRef>
          </c:cat>
          <c:val>
            <c:numRef>
              <c:f>'к вине'!$F$4:$F$7</c:f>
              <c:numCache>
                <c:formatCode>0.0%</c:formatCode>
                <c:ptCount val="4"/>
                <c:pt idx="0">
                  <c:v>4.4999999999999998E-2</c:v>
                </c:pt>
                <c:pt idx="1">
                  <c:v>0.59099999999999997</c:v>
                </c:pt>
                <c:pt idx="2">
                  <c:v>0.22700000000000001</c:v>
                </c:pt>
                <c:pt idx="3">
                  <c:v>0.13600000000000001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68924360819598263"/>
          <c:w val="0.97470010913815119"/>
          <c:h val="0.29016174624255747"/>
        </c:manualLayout>
      </c:layout>
      <c:overlay val="0"/>
      <c:txPr>
        <a:bodyPr/>
        <a:lstStyle/>
        <a:p>
          <a:pPr rtl="0">
            <a:defRPr sz="1100" b="1" spc="-5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  <c:userShapes r:id="rId2"/>
</c:chartSpace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chart" Target="../charts/chart3.xml"/></Relationships>
</file>

<file path=word/drawings/_rels/drawing4.xml.rels><?xml version="1.0" encoding="UTF-8" standalone="yes"?>
<Relationships xmlns="http://schemas.openxmlformats.org/package/2006/relationships"><Relationship Id="rId1" Type="http://schemas.openxmlformats.org/officeDocument/2006/relationships/chart" Target="../charts/chart6.xml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0.01206</cdr:x>
      <cdr:y>0.02003</cdr:y>
    </cdr:from>
    <cdr:to>
      <cdr:x>0.97004</cdr:x>
      <cdr:y>0.16178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3755" y="70490"/>
          <a:ext cx="5858704" cy="4988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Производственный травматизм с тяжелыми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последствиями</a:t>
          </a:r>
        </a:p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в строительстве</a:t>
          </a:r>
        </a:p>
      </cdr:txBody>
    </cdr:sp>
  </cdr:relSizeAnchor>
  <cdr:relSizeAnchor xmlns:cdr="http://schemas.openxmlformats.org/drawingml/2006/chartDrawing">
    <cdr:from>
      <cdr:x>0.26891</cdr:x>
      <cdr:y>0.04073</cdr:y>
    </cdr:from>
    <cdr:to>
      <cdr:x>0.80532</cdr:x>
      <cdr:y>0.09369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709332" y="282223"/>
          <a:ext cx="5404555" cy="3668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0.49717</cdr:x>
      <cdr:y>0.12135</cdr:y>
    </cdr:from>
    <cdr:to>
      <cdr:x>0.97851</cdr:x>
      <cdr:y>0.76498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0.04032</cdr:y>
    </cdr:from>
    <cdr:to>
      <cdr:x>0.93878</cdr:x>
      <cdr:y>0.12903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4847" y="277795"/>
          <a:ext cx="9025030" cy="611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200"/>
            </a:lnSpc>
          </a:pPr>
          <a:r>
            <a:rPr lang="ru-RU" sz="1100" b="1">
              <a:latin typeface="Times New Roman" pitchFamily="18" charset="0"/>
              <a:cs typeface="Times New Roman" pitchFamily="18" charset="0"/>
            </a:rPr>
            <a:t>Удельный вес потерпевших на производстве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100" b="1">
              <a:latin typeface="Times New Roman" pitchFamily="18" charset="0"/>
              <a:cs typeface="Times New Roman" pitchFamily="18" charset="0"/>
            </a:rPr>
            <a:t>в разрезе организаций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0.14421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451" y="40909"/>
          <a:ext cx="5758124" cy="5629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Данные о производственном травматизме с тяжелыми последствиями </a:t>
          </a:r>
        </a:p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 разрезе организаций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0.1353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280285"/>
          <a:ext cx="8176401" cy="6508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0.47243</cdr:x>
      <cdr:y>0.12723</cdr:y>
    </cdr:from>
    <cdr:to>
      <cdr:x>0.98919</cdr:x>
      <cdr:y>0.77086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0.01859</cdr:x>
      <cdr:y>0</cdr:y>
    </cdr:from>
    <cdr:to>
      <cdr:x>0.9605</cdr:x>
      <cdr:y>0.09332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13782" y="0"/>
          <a:ext cx="5764612" cy="3964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200"/>
            </a:lnSpc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Распределение потерпевших в результате несчастных случаев на производстве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в 2024 году по возрасту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0.01973</cdr:x>
      <cdr:y>0</cdr:y>
    </cdr:from>
    <cdr:to>
      <cdr:x>0.96786</cdr:x>
      <cdr:y>0.11935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0771" y="0"/>
          <a:ext cx="5802656" cy="5077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Распределение потерпевших с тяжелыми последствиями 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в 2024 году по факторам травмирования (человек)</a:t>
          </a:r>
        </a:p>
      </cdr:txBody>
    </cdr:sp>
  </cdr:relSizeAnchor>
  <cdr:relSizeAnchor xmlns:cdr="http://schemas.openxmlformats.org/drawingml/2006/chartDrawing">
    <cdr:from>
      <cdr:x>0.90639</cdr:x>
      <cdr:y>0</cdr:y>
    </cdr:from>
    <cdr:to>
      <cdr:x>0.94178</cdr:x>
      <cdr:y>0.05255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97472" y="0"/>
          <a:ext cx="347381" cy="358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0.02302</cdr:x>
      <cdr:y>0</cdr:y>
    </cdr:from>
    <cdr:to>
      <cdr:x>0.98505</cdr:x>
      <cdr:y>0.13718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40806" y="0"/>
          <a:ext cx="5883473" cy="5952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100" b="1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Распределение  вины  нанимателей (работодателей ) и работников (работающих)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100" b="1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 результатам специальных расследований  несчастных случаев  на</a:t>
          </a:r>
          <a:r>
            <a:rPr lang="ru-RU" sz="1100" b="1" baseline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производстве 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100" b="1" baseline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 </a:t>
          </a:r>
          <a:r>
            <a:rPr lang="ru-RU" sz="1100" b="1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тяжелыми последствиями,  происшедших в  2024 году </a:t>
          </a:r>
          <a:endParaRPr lang="ru-RU" sz="11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2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0.20549</cdr:y>
    </cdr:to>
    <cdr:sp macro="" textlink="">
      <cdr:nvSpPr>
        <cdr:cNvPr id="4" name="TextBox 5"/>
        <cdr:cNvSpPr txBox="1"/>
      </cdr:nvSpPr>
      <cdr:spPr>
        <a:xfrm xmlns:a="http://schemas.openxmlformats.org/drawingml/2006/main">
          <a:off x="80480" y="0"/>
          <a:ext cx="5887748" cy="8626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700"/>
            </a:lnSpc>
          </a:pPr>
          <a:endParaRPr lang="ru-RU" sz="16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C67A8-F8D7-4647-9AF7-A81579C5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4346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Шиманский Иван Иванович</cp:lastModifiedBy>
  <cp:revision>176</cp:revision>
  <cp:lastPrinted>2025-03-05T13:01:00Z</cp:lastPrinted>
  <dcterms:created xsi:type="dcterms:W3CDTF">2020-12-14T06:03:00Z</dcterms:created>
  <dcterms:modified xsi:type="dcterms:W3CDTF">2025-03-05T14:03:00Z</dcterms:modified>
</cp:coreProperties>
</file>